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2" w:type="dxa"/>
        <w:tblBorders>
          <w:top w:val="nil"/>
          <w:left w:val="nil"/>
          <w:bottom w:val="nil"/>
          <w:right w:val="nil"/>
        </w:tblBorders>
        <w:tblLayout w:type="fixed"/>
        <w:tblLook w:val="0000" w:firstRow="0" w:lastRow="0" w:firstColumn="0" w:lastColumn="0" w:noHBand="0" w:noVBand="0"/>
      </w:tblPr>
      <w:tblGrid>
        <w:gridCol w:w="4644"/>
        <w:gridCol w:w="5528"/>
      </w:tblGrid>
      <w:tr w:rsidR="000562B8" w:rsidRPr="000562B8" w:rsidTr="00514A88">
        <w:trPr>
          <w:trHeight w:val="318"/>
        </w:trPr>
        <w:tc>
          <w:tcPr>
            <w:tcW w:w="4644" w:type="dxa"/>
          </w:tcPr>
          <w:p w:rsidR="00E7750B" w:rsidRPr="000562B8" w:rsidRDefault="00514A88" w:rsidP="00514A88">
            <w:pPr>
              <w:autoSpaceDE w:val="0"/>
              <w:autoSpaceDN w:val="0"/>
              <w:adjustRightInd w:val="0"/>
              <w:spacing w:after="0" w:line="240" w:lineRule="auto"/>
              <w:rPr>
                <w:rFonts w:ascii="Times New Roman" w:eastAsia="Calibri" w:hAnsi="Times New Roman" w:cs="Times New Roman"/>
                <w:spacing w:val="-10"/>
                <w:w w:val="96"/>
                <w:sz w:val="26"/>
                <w:szCs w:val="26"/>
              </w:rPr>
            </w:pPr>
            <w:r>
              <w:rPr>
                <w:rFonts w:ascii="Times New Roman" w:eastAsia="Calibri" w:hAnsi="Times New Roman" w:cs="Times New Roman"/>
                <w:spacing w:val="-10"/>
                <w:w w:val="96"/>
                <w:sz w:val="26"/>
                <w:szCs w:val="26"/>
              </w:rPr>
              <w:t xml:space="preserve">                     </w:t>
            </w:r>
            <w:r w:rsidR="00E7750B" w:rsidRPr="000562B8">
              <w:rPr>
                <w:rFonts w:ascii="Times New Roman" w:eastAsia="Calibri" w:hAnsi="Times New Roman" w:cs="Times New Roman"/>
                <w:spacing w:val="-10"/>
                <w:w w:val="96"/>
                <w:sz w:val="26"/>
                <w:szCs w:val="26"/>
              </w:rPr>
              <w:t>UBND TỈNH GIA LAI</w:t>
            </w:r>
          </w:p>
          <w:p w:rsidR="00E7750B" w:rsidRPr="00514A88" w:rsidRDefault="00E7750B" w:rsidP="00514A88">
            <w:pPr>
              <w:autoSpaceDE w:val="0"/>
              <w:autoSpaceDN w:val="0"/>
              <w:adjustRightInd w:val="0"/>
              <w:spacing w:after="0" w:line="240" w:lineRule="auto"/>
              <w:rPr>
                <w:rFonts w:ascii="Times New Roman Bold" w:eastAsia="Calibri" w:hAnsi="Times New Roman Bold" w:cs="Times New Roman"/>
                <w:b/>
                <w:bCs/>
                <w:spacing w:val="-16"/>
                <w:w w:val="96"/>
                <w:sz w:val="28"/>
                <w:szCs w:val="28"/>
              </w:rPr>
            </w:pPr>
            <w:r w:rsidRPr="00514A88">
              <w:rPr>
                <w:rFonts w:ascii="Times New Roman Bold" w:eastAsia="Calibri" w:hAnsi="Times New Roman Bold" w:cs="Times New Roman"/>
                <w:b/>
                <w:bCs/>
                <w:spacing w:val="-16"/>
                <w:w w:val="96"/>
                <w:sz w:val="28"/>
                <w:szCs w:val="28"/>
              </w:rPr>
              <w:t>SỞ VĂN HÓA, THỂ THAO VÀ DU LỊCH</w:t>
            </w:r>
          </w:p>
          <w:p w:rsidR="00E7750B" w:rsidRPr="000562B8" w:rsidRDefault="00E7750B" w:rsidP="00E7750B">
            <w:pPr>
              <w:autoSpaceDE w:val="0"/>
              <w:autoSpaceDN w:val="0"/>
              <w:adjustRightInd w:val="0"/>
              <w:spacing w:after="0" w:line="240" w:lineRule="auto"/>
              <w:jc w:val="center"/>
              <w:rPr>
                <w:rFonts w:ascii="Times New Roman" w:eastAsia="Calibri" w:hAnsi="Times New Roman" w:cs="Times New Roman"/>
                <w:spacing w:val="-10"/>
                <w:w w:val="96"/>
                <w:sz w:val="28"/>
                <w:szCs w:val="28"/>
              </w:rPr>
            </w:pPr>
            <w:r w:rsidRPr="000562B8">
              <w:rPr>
                <w:rFonts w:ascii="Calibri" w:eastAsia="Calibri" w:hAnsi="Calibri" w:cs="Times New Roman"/>
                <w:noProof/>
              </w:rPr>
              <mc:AlternateContent>
                <mc:Choice Requires="wps">
                  <w:drawing>
                    <wp:anchor distT="4294967294" distB="4294967294" distL="114300" distR="114300" simplePos="0" relativeHeight="251656704" behindDoc="0" locked="0" layoutInCell="1" allowOverlap="1" wp14:anchorId="68833D3E" wp14:editId="0DD16D6F">
                      <wp:simplePos x="0" y="0"/>
                      <wp:positionH relativeFrom="column">
                        <wp:posOffset>1155065</wp:posOffset>
                      </wp:positionH>
                      <wp:positionV relativeFrom="paragraph">
                        <wp:posOffset>9525</wp:posOffset>
                      </wp:positionV>
                      <wp:extent cx="444500" cy="0"/>
                      <wp:effectExtent l="0" t="0" r="12700" b="19050"/>
                      <wp:wrapNone/>
                      <wp:docPr id="191916013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4F0F034" id="_x0000_t32" coordsize="21600,21600" o:spt="32" o:oned="t" path="m,l21600,21600e" filled="f">
                      <v:path arrowok="t" fillok="f" o:connecttype="none"/>
                      <o:lock v:ext="edit" shapetype="t"/>
                    </v:shapetype>
                    <v:shape id="Straight Arrow Connector 5" o:spid="_x0000_s1026" type="#_x0000_t32" style="position:absolute;margin-left:90.95pt;margin-top:.75pt;width:3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"/>
                  </w:pict>
                </mc:Fallback>
              </mc:AlternateContent>
            </w:r>
          </w:p>
        </w:tc>
        <w:tc>
          <w:tcPr>
            <w:tcW w:w="5528" w:type="dxa"/>
          </w:tcPr>
          <w:p w:rsidR="00E7750B" w:rsidRPr="00514A88" w:rsidRDefault="00514A88" w:rsidP="00E7750B">
            <w:pPr>
              <w:autoSpaceDE w:val="0"/>
              <w:autoSpaceDN w:val="0"/>
              <w:adjustRightInd w:val="0"/>
              <w:spacing w:after="0" w:line="240" w:lineRule="auto"/>
              <w:rPr>
                <w:rFonts w:ascii="Times New Roman Bold" w:eastAsia="Calibri" w:hAnsi="Times New Roman Bold" w:cs="Times New Roman"/>
                <w:spacing w:val="-18"/>
                <w:w w:val="96"/>
                <w:sz w:val="26"/>
                <w:szCs w:val="26"/>
              </w:rPr>
            </w:pPr>
            <w:r>
              <w:rPr>
                <w:rFonts w:ascii="Times New Roman Bold" w:eastAsia="Calibri" w:hAnsi="Times New Roman Bold" w:cs="Times New Roman"/>
                <w:b/>
                <w:bCs/>
                <w:spacing w:val="-18"/>
                <w:w w:val="96"/>
                <w:sz w:val="26"/>
                <w:szCs w:val="26"/>
              </w:rPr>
              <w:t xml:space="preserve">  </w:t>
            </w:r>
            <w:r w:rsidR="00E7750B" w:rsidRPr="00514A88">
              <w:rPr>
                <w:rFonts w:ascii="Times New Roman Bold" w:eastAsia="Calibri" w:hAnsi="Times New Roman Bold" w:cs="Times New Roman"/>
                <w:b/>
                <w:bCs/>
                <w:spacing w:val="-18"/>
                <w:w w:val="96"/>
                <w:sz w:val="26"/>
                <w:szCs w:val="26"/>
              </w:rPr>
              <w:t>CỘNG HÒA XÃ HỘI CHỦ NGHĨA VIỆT NAM</w:t>
            </w:r>
          </w:p>
          <w:p w:rsidR="00E7750B" w:rsidRPr="000562B8" w:rsidRDefault="00514A88" w:rsidP="00514A88">
            <w:pPr>
              <w:autoSpaceDE w:val="0"/>
              <w:autoSpaceDN w:val="0"/>
              <w:adjustRightInd w:val="0"/>
              <w:spacing w:after="0" w:line="240" w:lineRule="auto"/>
              <w:rPr>
                <w:rFonts w:ascii="Times New Roman Bold" w:eastAsia="Calibri" w:hAnsi="Times New Roman Bold" w:cs="Times New Roman"/>
                <w:b/>
                <w:bCs/>
                <w:spacing w:val="-10"/>
                <w:w w:val="96"/>
                <w:sz w:val="14"/>
                <w:szCs w:val="14"/>
              </w:rPr>
            </w:pPr>
            <w:r>
              <w:rPr>
                <w:rFonts w:ascii="Times New Roman Bold" w:eastAsia="Calibri" w:hAnsi="Times New Roman Bold" w:cs="Times New Roman"/>
                <w:b/>
                <w:bCs/>
                <w:spacing w:val="-10"/>
                <w:w w:val="96"/>
                <w:sz w:val="28"/>
                <w:szCs w:val="28"/>
              </w:rPr>
              <w:t xml:space="preserve">              </w:t>
            </w:r>
            <w:r w:rsidR="00E7750B" w:rsidRPr="000562B8">
              <w:rPr>
                <w:rFonts w:ascii="Times New Roman Bold" w:eastAsia="Calibri" w:hAnsi="Times New Roman Bold" w:cs="Times New Roman"/>
                <w:b/>
                <w:bCs/>
                <w:spacing w:val="-10"/>
                <w:w w:val="96"/>
                <w:sz w:val="28"/>
                <w:szCs w:val="28"/>
              </w:rPr>
              <w:t>Độc lập – Tự do – Hạnh phúc</w:t>
            </w:r>
          </w:p>
          <w:p w:rsidR="00E7750B" w:rsidRPr="000562B8" w:rsidRDefault="00E7750B" w:rsidP="00E7750B">
            <w:pPr>
              <w:autoSpaceDE w:val="0"/>
              <w:autoSpaceDN w:val="0"/>
              <w:adjustRightInd w:val="0"/>
              <w:spacing w:after="0" w:line="240" w:lineRule="auto"/>
              <w:jc w:val="center"/>
              <w:rPr>
                <w:rFonts w:ascii="Times New Roman Bold" w:eastAsia="Calibri" w:hAnsi="Times New Roman Bold" w:cs="Times New Roman"/>
                <w:b/>
                <w:bCs/>
                <w:spacing w:val="-10"/>
                <w:w w:val="96"/>
                <w:sz w:val="14"/>
                <w:szCs w:val="14"/>
              </w:rPr>
            </w:pPr>
            <w:r w:rsidRPr="000562B8">
              <w:rPr>
                <w:rFonts w:ascii="Calibri" w:eastAsia="Calibri" w:hAnsi="Calibri" w:cs="Times New Roman"/>
                <w:noProof/>
              </w:rPr>
              <mc:AlternateContent>
                <mc:Choice Requires="wps">
                  <w:drawing>
                    <wp:anchor distT="4294967294" distB="4294967294" distL="114300" distR="114300" simplePos="0" relativeHeight="251657728" behindDoc="0" locked="0" layoutInCell="1" allowOverlap="1" wp14:anchorId="3660031B" wp14:editId="1C63FD1A">
                      <wp:simplePos x="0" y="0"/>
                      <wp:positionH relativeFrom="column">
                        <wp:posOffset>530225</wp:posOffset>
                      </wp:positionH>
                      <wp:positionV relativeFrom="paragraph">
                        <wp:posOffset>16510</wp:posOffset>
                      </wp:positionV>
                      <wp:extent cx="1911350" cy="0"/>
                      <wp:effectExtent l="0" t="0" r="12700" b="19050"/>
                      <wp:wrapNone/>
                      <wp:docPr id="204768149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43DEAC" id="Straight Arrow Connector 3" o:spid="_x0000_s1026" type="#_x0000_t32" style="position:absolute;margin-left:41.75pt;margin-top:1.3pt;width:1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"/>
                  </w:pict>
                </mc:Fallback>
              </mc:AlternateContent>
            </w:r>
          </w:p>
        </w:tc>
      </w:tr>
      <w:tr w:rsidR="00E7750B" w:rsidRPr="000562B8" w:rsidTr="00514A88">
        <w:trPr>
          <w:trHeight w:val="592"/>
        </w:trPr>
        <w:tc>
          <w:tcPr>
            <w:tcW w:w="4644" w:type="dxa"/>
          </w:tcPr>
          <w:p w:rsidR="00E7750B" w:rsidRPr="000562B8" w:rsidRDefault="00E7750B" w:rsidP="00E7750B">
            <w:pPr>
              <w:autoSpaceDE w:val="0"/>
              <w:autoSpaceDN w:val="0"/>
              <w:adjustRightInd w:val="0"/>
              <w:spacing w:before="60" w:after="0" w:line="240" w:lineRule="auto"/>
              <w:jc w:val="center"/>
              <w:rPr>
                <w:rFonts w:ascii="Times New Roman" w:eastAsia="Calibri" w:hAnsi="Times New Roman" w:cs="Times New Roman"/>
                <w:sz w:val="26"/>
                <w:szCs w:val="26"/>
              </w:rPr>
            </w:pPr>
          </w:p>
        </w:tc>
        <w:tc>
          <w:tcPr>
            <w:tcW w:w="5528" w:type="dxa"/>
          </w:tcPr>
          <w:p w:rsidR="00E7750B" w:rsidRPr="000562B8" w:rsidRDefault="00E7750B" w:rsidP="00631B43">
            <w:pPr>
              <w:autoSpaceDE w:val="0"/>
              <w:autoSpaceDN w:val="0"/>
              <w:adjustRightInd w:val="0"/>
              <w:spacing w:after="0" w:line="240" w:lineRule="auto"/>
              <w:rPr>
                <w:rFonts w:ascii="Times New Roman" w:eastAsia="Calibri" w:hAnsi="Times New Roman" w:cs="Times New Roman"/>
                <w:i/>
                <w:sz w:val="28"/>
                <w:szCs w:val="28"/>
              </w:rPr>
            </w:pPr>
            <w:r w:rsidRPr="000562B8">
              <w:rPr>
                <w:rFonts w:ascii="Times New Roman" w:eastAsia="Calibri" w:hAnsi="Times New Roman" w:cs="Times New Roman"/>
                <w:i/>
                <w:sz w:val="28"/>
                <w:szCs w:val="28"/>
              </w:rPr>
              <w:t xml:space="preserve">      Gia Lai, </w:t>
            </w:r>
            <w:r w:rsidRPr="000562B8">
              <w:rPr>
                <w:rFonts w:ascii="Times New Roman" w:eastAsia="Calibri" w:hAnsi="Times New Roman" w:cs="Times New Roman"/>
                <w:i/>
                <w:iCs/>
                <w:sz w:val="28"/>
                <w:szCs w:val="28"/>
              </w:rPr>
              <w:t xml:space="preserve">ngày </w:t>
            </w:r>
            <w:r w:rsidR="00A35B28">
              <w:rPr>
                <w:rFonts w:ascii="Times New Roman" w:eastAsia="Calibri" w:hAnsi="Times New Roman" w:cs="Times New Roman"/>
                <w:i/>
                <w:iCs/>
                <w:sz w:val="28"/>
                <w:szCs w:val="28"/>
              </w:rPr>
              <w:t>09</w:t>
            </w:r>
            <w:r w:rsidRPr="000562B8">
              <w:rPr>
                <w:rFonts w:ascii="Times New Roman" w:eastAsia="Calibri" w:hAnsi="Times New Roman" w:cs="Times New Roman"/>
                <w:i/>
                <w:iCs/>
                <w:sz w:val="28"/>
                <w:szCs w:val="28"/>
              </w:rPr>
              <w:t xml:space="preserve"> tháng </w:t>
            </w:r>
            <w:r w:rsidR="00631B43">
              <w:rPr>
                <w:rFonts w:ascii="Times New Roman" w:eastAsia="Calibri" w:hAnsi="Times New Roman" w:cs="Times New Roman"/>
                <w:i/>
                <w:iCs/>
                <w:sz w:val="28"/>
                <w:szCs w:val="28"/>
              </w:rPr>
              <w:t>4</w:t>
            </w:r>
            <w:r w:rsidRPr="000562B8">
              <w:rPr>
                <w:rFonts w:ascii="Times New Roman" w:eastAsia="Calibri" w:hAnsi="Times New Roman" w:cs="Times New Roman"/>
                <w:i/>
                <w:iCs/>
                <w:sz w:val="28"/>
                <w:szCs w:val="28"/>
              </w:rPr>
              <w:t xml:space="preserve"> năm 2026 </w:t>
            </w:r>
          </w:p>
        </w:tc>
      </w:tr>
    </w:tbl>
    <w:p w:rsidR="00E7750B" w:rsidRDefault="00E7750B" w:rsidP="001747F2">
      <w:pPr>
        <w:tabs>
          <w:tab w:val="left" w:pos="720"/>
        </w:tabs>
        <w:spacing w:after="0" w:line="240" w:lineRule="auto"/>
        <w:jc w:val="center"/>
        <w:rPr>
          <w:rFonts w:ascii="Times New Roman" w:hAnsi="Times New Roman" w:cs="Times New Roman"/>
          <w:b/>
          <w:sz w:val="28"/>
          <w:szCs w:val="28"/>
        </w:rPr>
      </w:pPr>
    </w:p>
    <w:p w:rsidR="00514A88" w:rsidRPr="000562B8" w:rsidRDefault="00514A88" w:rsidP="001747F2">
      <w:pPr>
        <w:tabs>
          <w:tab w:val="left" w:pos="720"/>
        </w:tabs>
        <w:spacing w:after="0" w:line="240" w:lineRule="auto"/>
        <w:jc w:val="center"/>
        <w:rPr>
          <w:rFonts w:ascii="Times New Roman" w:hAnsi="Times New Roman" w:cs="Times New Roman"/>
          <w:b/>
          <w:sz w:val="28"/>
          <w:szCs w:val="28"/>
        </w:rPr>
      </w:pPr>
    </w:p>
    <w:p w:rsidR="00E02037" w:rsidRPr="00E61143" w:rsidRDefault="00E02037" w:rsidP="001747F2">
      <w:pPr>
        <w:tabs>
          <w:tab w:val="left" w:pos="720"/>
        </w:tabs>
        <w:spacing w:after="0" w:line="240" w:lineRule="auto"/>
        <w:jc w:val="center"/>
        <w:rPr>
          <w:rFonts w:ascii="Times New Roman" w:hAnsi="Times New Roman" w:cs="Times New Roman"/>
          <w:b/>
          <w:color w:val="000000" w:themeColor="text1"/>
          <w:sz w:val="28"/>
          <w:szCs w:val="28"/>
        </w:rPr>
      </w:pPr>
      <w:r w:rsidRPr="00E61143">
        <w:rPr>
          <w:rFonts w:ascii="Times New Roman" w:hAnsi="Times New Roman" w:cs="Times New Roman"/>
          <w:b/>
          <w:color w:val="000000" w:themeColor="text1"/>
          <w:sz w:val="28"/>
          <w:szCs w:val="28"/>
        </w:rPr>
        <w:t>BẢN</w:t>
      </w:r>
      <w:r w:rsidR="0091207D">
        <w:rPr>
          <w:rFonts w:ascii="Times New Roman" w:hAnsi="Times New Roman" w:cs="Times New Roman"/>
          <w:b/>
          <w:color w:val="000000" w:themeColor="text1"/>
          <w:sz w:val="28"/>
          <w:szCs w:val="28"/>
        </w:rPr>
        <w:t>G</w:t>
      </w:r>
      <w:r w:rsidRPr="00E61143">
        <w:rPr>
          <w:rFonts w:ascii="Times New Roman" w:hAnsi="Times New Roman" w:cs="Times New Roman"/>
          <w:b/>
          <w:color w:val="000000" w:themeColor="text1"/>
          <w:sz w:val="28"/>
          <w:szCs w:val="28"/>
        </w:rPr>
        <w:t xml:space="preserve"> </w:t>
      </w:r>
      <w:r w:rsidR="00457868">
        <w:rPr>
          <w:rFonts w:ascii="Times New Roman" w:hAnsi="Times New Roman" w:cs="Times New Roman"/>
          <w:b/>
          <w:color w:val="000000" w:themeColor="text1"/>
          <w:sz w:val="28"/>
          <w:szCs w:val="28"/>
        </w:rPr>
        <w:t xml:space="preserve">SO SÁNH, </w:t>
      </w:r>
      <w:r w:rsidRPr="00E61143">
        <w:rPr>
          <w:rFonts w:ascii="Times New Roman" w:hAnsi="Times New Roman" w:cs="Times New Roman"/>
          <w:b/>
          <w:color w:val="000000" w:themeColor="text1"/>
          <w:sz w:val="28"/>
          <w:szCs w:val="28"/>
        </w:rPr>
        <w:t xml:space="preserve">THUYẾT MINH </w:t>
      </w:r>
    </w:p>
    <w:p w:rsidR="00913923" w:rsidRPr="00E61143" w:rsidRDefault="00457868" w:rsidP="00457868">
      <w:pPr>
        <w:spacing w:after="0" w:line="240" w:lineRule="atLeast"/>
        <w:jc w:val="center"/>
        <w:rPr>
          <w:rFonts w:ascii="Times New Roman" w:hAnsi="Times New Roman" w:cs="Times New Roman"/>
          <w:b/>
          <w:color w:val="000000" w:themeColor="text1"/>
          <w:sz w:val="28"/>
          <w:szCs w:val="28"/>
        </w:rPr>
      </w:pPr>
      <w:bookmarkStart w:id="0" w:name="_Hlk225757566"/>
      <w:r>
        <w:rPr>
          <w:rFonts w:ascii="Times New Roman" w:hAnsi="Times New Roman" w:cs="Times New Roman"/>
          <w:b/>
          <w:color w:val="000000" w:themeColor="text1"/>
          <w:sz w:val="28"/>
          <w:szCs w:val="28"/>
        </w:rPr>
        <w:t xml:space="preserve">Dự thảo Nghị quyết </w:t>
      </w:r>
      <w:r w:rsidR="0091207D" w:rsidRPr="0091207D">
        <w:rPr>
          <w:rFonts w:ascii="Times New Roman" w:hAnsi="Times New Roman" w:cs="Times New Roman"/>
          <w:b/>
          <w:color w:val="000000" w:themeColor="text1"/>
          <w:sz w:val="28"/>
          <w:szCs w:val="28"/>
        </w:rPr>
        <w:t>Quy định Chính sách hỗ trợ thu hút đoàn khách đến tỉnh Gia Lai dự hội nghị, hội thảo</w:t>
      </w:r>
      <w:r w:rsidRPr="00E6114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với </w:t>
      </w:r>
      <w:r w:rsidR="0091207D" w:rsidRPr="0091207D">
        <w:rPr>
          <w:rFonts w:ascii="Times New Roman" w:hAnsi="Times New Roman" w:cs="Times New Roman"/>
          <w:b/>
          <w:color w:val="000000" w:themeColor="text1"/>
          <w:sz w:val="28"/>
          <w:szCs w:val="28"/>
        </w:rPr>
        <w:t>Nghị quyết số 15/2024/NQ-HĐND ngày</w:t>
      </w:r>
      <w:r w:rsidR="0091207D">
        <w:rPr>
          <w:rFonts w:ascii="Times New Roman" w:hAnsi="Times New Roman" w:cs="Times New Roman"/>
          <w:b/>
          <w:color w:val="000000" w:themeColor="text1"/>
          <w:sz w:val="28"/>
          <w:szCs w:val="28"/>
        </w:rPr>
        <w:t xml:space="preserve"> </w:t>
      </w:r>
      <w:r w:rsidR="0091207D" w:rsidRPr="0091207D">
        <w:rPr>
          <w:rFonts w:ascii="Times New Roman" w:hAnsi="Times New Roman" w:cs="Times New Roman"/>
          <w:b/>
          <w:color w:val="000000" w:themeColor="text1"/>
          <w:sz w:val="28"/>
          <w:szCs w:val="28"/>
        </w:rPr>
        <w:t>12</w:t>
      </w:r>
      <w:r w:rsidR="0091207D">
        <w:rPr>
          <w:rFonts w:ascii="Times New Roman" w:hAnsi="Times New Roman" w:cs="Times New Roman"/>
          <w:b/>
          <w:color w:val="000000" w:themeColor="text1"/>
          <w:sz w:val="28"/>
          <w:szCs w:val="28"/>
        </w:rPr>
        <w:t>/</w:t>
      </w:r>
      <w:r w:rsidR="0091207D" w:rsidRPr="0091207D">
        <w:rPr>
          <w:rFonts w:ascii="Times New Roman" w:hAnsi="Times New Roman" w:cs="Times New Roman"/>
          <w:b/>
          <w:color w:val="000000" w:themeColor="text1"/>
          <w:sz w:val="28"/>
          <w:szCs w:val="28"/>
        </w:rPr>
        <w:t>7</w:t>
      </w:r>
      <w:r w:rsidR="0091207D">
        <w:rPr>
          <w:rFonts w:ascii="Times New Roman" w:hAnsi="Times New Roman" w:cs="Times New Roman"/>
          <w:b/>
          <w:color w:val="000000" w:themeColor="text1"/>
          <w:sz w:val="28"/>
          <w:szCs w:val="28"/>
        </w:rPr>
        <w:t>/</w:t>
      </w:r>
      <w:r w:rsidR="0091207D" w:rsidRPr="0091207D">
        <w:rPr>
          <w:rFonts w:ascii="Times New Roman" w:hAnsi="Times New Roman" w:cs="Times New Roman"/>
          <w:b/>
          <w:color w:val="000000" w:themeColor="text1"/>
          <w:sz w:val="28"/>
          <w:szCs w:val="28"/>
        </w:rPr>
        <w:t xml:space="preserve">2024 của </w:t>
      </w:r>
      <w:r w:rsidR="0091207D">
        <w:rPr>
          <w:rFonts w:ascii="Times New Roman" w:hAnsi="Times New Roman" w:cs="Times New Roman"/>
          <w:b/>
          <w:color w:val="000000" w:themeColor="text1"/>
          <w:sz w:val="28"/>
          <w:szCs w:val="28"/>
        </w:rPr>
        <w:t>HĐND</w:t>
      </w:r>
      <w:r w:rsidR="0091207D" w:rsidRPr="0091207D">
        <w:rPr>
          <w:rFonts w:ascii="Times New Roman" w:hAnsi="Times New Roman" w:cs="Times New Roman"/>
          <w:b/>
          <w:color w:val="000000" w:themeColor="text1"/>
          <w:sz w:val="28"/>
          <w:szCs w:val="28"/>
        </w:rPr>
        <w:t xml:space="preserve"> tỉnh Bình Định (trước sắp xếp) Quy định Chính sách hỗ trợ thu hút đoàn khách đến tỉnh Bình Định dự hội nghị, hội thảo</w:t>
      </w:r>
      <w:r w:rsidR="00CC7CFB">
        <w:rPr>
          <w:rFonts w:ascii="Times New Roman" w:hAnsi="Times New Roman" w:cs="Times New Roman"/>
          <w:b/>
          <w:color w:val="000000" w:themeColor="text1"/>
          <w:sz w:val="28"/>
          <w:szCs w:val="28"/>
        </w:rPr>
        <w:t xml:space="preserve"> </w:t>
      </w:r>
    </w:p>
    <w:bookmarkEnd w:id="0"/>
    <w:p w:rsidR="00E02037" w:rsidRPr="00E61143" w:rsidRDefault="00E02037" w:rsidP="00E02037">
      <w:pPr>
        <w:tabs>
          <w:tab w:val="left" w:pos="720"/>
        </w:tabs>
        <w:snapToGrid w:val="0"/>
        <w:spacing w:before="120"/>
        <w:ind w:firstLine="709"/>
        <w:jc w:val="both"/>
        <w:rPr>
          <w:rFonts w:ascii="Times New Roman" w:hAnsi="Times New Roman" w:cs="Times New Roman"/>
          <w:i/>
          <w:color w:val="000000" w:themeColor="text1"/>
          <w:sz w:val="28"/>
          <w:szCs w:val="28"/>
          <w:lang w:val="nl-NL"/>
        </w:rPr>
      </w:pPr>
      <w:r w:rsidRPr="00E61143">
        <w:rPr>
          <w:rFonts w:ascii="Times New Roman" w:hAnsi="Times New Roman" w:cs="Times New Roman"/>
          <w:b/>
          <w:noProof/>
          <w:color w:val="000000" w:themeColor="text1"/>
          <w:sz w:val="28"/>
          <w:szCs w:val="28"/>
        </w:rPr>
        <mc:AlternateContent>
          <mc:Choice Requires="wps">
            <w:drawing>
              <wp:anchor distT="0" distB="0" distL="114300" distR="114300" simplePos="0" relativeHeight="251658752" behindDoc="0" locked="0" layoutInCell="1" allowOverlap="1" wp14:anchorId="7C251C51" wp14:editId="36BC5878">
                <wp:simplePos x="0" y="0"/>
                <wp:positionH relativeFrom="column">
                  <wp:posOffset>2564765</wp:posOffset>
                </wp:positionH>
                <wp:positionV relativeFrom="paragraph">
                  <wp:posOffset>49530</wp:posOffset>
                </wp:positionV>
                <wp:extent cx="635000" cy="0"/>
                <wp:effectExtent l="0" t="0" r="1270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 w14:anchorId="27DF64ED" id="AutoShape 2" o:spid="_x0000_s1026" type="#_x0000_t32" style="position:absolute;margin-left:201.95pt;margin-top:3.9pt;width:50pt;height:0;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"/>
            </w:pict>
          </mc:Fallback>
        </mc:AlternateContent>
      </w:r>
    </w:p>
    <w:p w:rsidR="0091207D" w:rsidRDefault="00E02037" w:rsidP="0091207D">
      <w:pPr>
        <w:spacing w:before="120" w:after="120"/>
        <w:ind w:firstLine="720"/>
        <w:jc w:val="both"/>
        <w:rPr>
          <w:rFonts w:ascii="Times New Roman" w:hAnsi="Times New Roman" w:cs="Times New Roman"/>
          <w:iCs/>
          <w:color w:val="000000" w:themeColor="text1"/>
          <w:sz w:val="28"/>
          <w:szCs w:val="28"/>
        </w:rPr>
      </w:pPr>
      <w:r w:rsidRPr="00E61143">
        <w:rPr>
          <w:rFonts w:ascii="Times New Roman" w:hAnsi="Times New Roman" w:cs="Times New Roman"/>
          <w:color w:val="000000" w:themeColor="text1"/>
          <w:sz w:val="28"/>
          <w:szCs w:val="28"/>
          <w:lang w:val="nl-NL"/>
        </w:rPr>
        <w:t xml:space="preserve">Căn cứ </w:t>
      </w:r>
      <w:r w:rsidRPr="00E61143">
        <w:rPr>
          <w:rFonts w:ascii="Times New Roman" w:hAnsi="Times New Roman" w:cs="Times New Roman"/>
          <w:iCs/>
          <w:color w:val="000000" w:themeColor="text1"/>
          <w:sz w:val="28"/>
          <w:szCs w:val="28"/>
        </w:rPr>
        <w:t>Luật Ban hành văn bản quy phạm pháp luật ngày 19 tháng 02 năm 2025</w:t>
      </w:r>
      <w:r w:rsidRPr="00E61143">
        <w:rPr>
          <w:rFonts w:ascii="Times New Roman" w:hAnsi="Times New Roman" w:cs="Times New Roman"/>
          <w:color w:val="000000" w:themeColor="text1"/>
          <w:sz w:val="28"/>
          <w:szCs w:val="28"/>
          <w:lang w:val="nl-NL"/>
        </w:rPr>
        <w:t xml:space="preserve">; </w:t>
      </w:r>
      <w:r w:rsidR="00230C30" w:rsidRPr="00E61143">
        <w:rPr>
          <w:rFonts w:ascii="Times New Roman" w:hAnsi="Times New Roman" w:cs="Times New Roman"/>
          <w:iCs/>
          <w:color w:val="000000" w:themeColor="text1"/>
          <w:sz w:val="28"/>
          <w:szCs w:val="28"/>
        </w:rPr>
        <w:t xml:space="preserve">Luật Sửa đổi, bổ sung một số điều của Luật Ban hành văn bản quy phạm pháp luật ngày 25/6/2025; </w:t>
      </w:r>
      <w:r w:rsidRPr="00E61143">
        <w:rPr>
          <w:rFonts w:ascii="Times New Roman" w:hAnsi="Times New Roman" w:cs="Times New Roman"/>
          <w:iCs/>
          <w:color w:val="000000" w:themeColor="text1"/>
          <w:sz w:val="28"/>
          <w:szCs w:val="28"/>
        </w:rPr>
        <w:t>Nghị định số 78/2025/NĐ-CP của Chính phủ ngày 01 tháng 4 năm 2025 quy định chi tiết một số điều và biện pháp để tổ chức, hướng dẫn thi hành Luật ban hành văn bản quy phạm pháp luật</w:t>
      </w:r>
      <w:r w:rsidR="00230C30" w:rsidRPr="00E61143">
        <w:rPr>
          <w:rFonts w:ascii="Times New Roman" w:hAnsi="Times New Roman" w:cs="Times New Roman"/>
          <w:iCs/>
          <w:color w:val="000000" w:themeColor="text1"/>
          <w:sz w:val="28"/>
          <w:szCs w:val="28"/>
        </w:rPr>
        <w:t xml:space="preserve">; </w:t>
      </w:r>
      <w:r w:rsidR="0091207D" w:rsidRPr="0091207D">
        <w:rPr>
          <w:rFonts w:ascii="Times New Roman" w:hAnsi="Times New Roman" w:cs="Times New Roman"/>
          <w:iCs/>
          <w:color w:val="000000" w:themeColor="text1"/>
          <w:sz w:val="28"/>
          <w:szCs w:val="28"/>
        </w:rPr>
        <w:t>Nghị định số 187/2025/NĐ-CP ngày 01 tháng 7 năm 2025 của Chính phủ Sửa đổi, bổ sung một số điều của Nghị định số 78/2025/NĐ-CP ngày 01 tháng 4 năm 2025 của Chính phủ Quy định chi tiết một số điều và biện pháp để tổ chức, hướng dẫn thi hành Luật Ban hành văn bản quy phạm pháp luật và Nghị định số 79/2025/NĐ-CP ngày 01 tháng 4 năm 2025 của Chính phủ về kiểm tra, rà soát, hệ thống hóa và xử lý văn bản quy phạm pháp luật.</w:t>
      </w:r>
    </w:p>
    <w:p w:rsidR="00913923" w:rsidRPr="00E61143" w:rsidRDefault="00DB2E1B" w:rsidP="0091207D">
      <w:pPr>
        <w:spacing w:before="120" w:after="120"/>
        <w:ind w:firstLine="720"/>
        <w:jc w:val="both"/>
        <w:rPr>
          <w:rFonts w:ascii="Times New Roman" w:hAnsi="Times New Roman" w:cs="Times New Roman"/>
          <w:color w:val="000000" w:themeColor="text1"/>
          <w:sz w:val="28"/>
          <w:szCs w:val="28"/>
        </w:rPr>
      </w:pPr>
      <w:r w:rsidRPr="00E61143">
        <w:rPr>
          <w:rFonts w:ascii="Times New Roman" w:hAnsi="Times New Roman" w:cs="Times New Roman"/>
          <w:color w:val="000000" w:themeColor="text1"/>
          <w:sz w:val="28"/>
          <w:szCs w:val="28"/>
          <w:lang w:val="nl-NL" w:eastAsia="zh-CN"/>
        </w:rPr>
        <w:t>Sở Văn hóa, Thể thao và Du lịch xây dựng bản</w:t>
      </w:r>
      <w:r w:rsidR="0091207D">
        <w:rPr>
          <w:rFonts w:ascii="Times New Roman" w:hAnsi="Times New Roman" w:cs="Times New Roman"/>
          <w:color w:val="000000" w:themeColor="text1"/>
          <w:sz w:val="28"/>
          <w:szCs w:val="28"/>
          <w:lang w:val="nl-NL" w:eastAsia="zh-CN"/>
        </w:rPr>
        <w:t>g so sánh,</w:t>
      </w:r>
      <w:r w:rsidRPr="00E61143">
        <w:rPr>
          <w:rFonts w:ascii="Times New Roman" w:hAnsi="Times New Roman" w:cs="Times New Roman"/>
          <w:color w:val="000000" w:themeColor="text1"/>
          <w:sz w:val="28"/>
          <w:szCs w:val="28"/>
          <w:lang w:val="nl-NL" w:eastAsia="zh-CN"/>
        </w:rPr>
        <w:t xml:space="preserve"> thuyết minh nội dung dự thảo </w:t>
      </w:r>
      <w:r w:rsidRPr="00E61143">
        <w:rPr>
          <w:rFonts w:ascii="Times New Roman" w:hAnsi="Times New Roman" w:cs="Times New Roman"/>
          <w:iCs/>
          <w:color w:val="000000" w:themeColor="text1"/>
          <w:sz w:val="28"/>
          <w:szCs w:val="28"/>
        </w:rPr>
        <w:t xml:space="preserve">Nghị quyết </w:t>
      </w:r>
      <w:r w:rsidR="00514A88">
        <w:rPr>
          <w:rFonts w:ascii="Times New Roman" w:hAnsi="Times New Roman" w:cs="Times New Roman"/>
          <w:iCs/>
          <w:color w:val="000000" w:themeColor="text1"/>
          <w:sz w:val="28"/>
          <w:szCs w:val="28"/>
        </w:rPr>
        <w:t>thay thế</w:t>
      </w:r>
      <w:r w:rsidRPr="00E61143">
        <w:rPr>
          <w:rFonts w:ascii="Times New Roman" w:hAnsi="Times New Roman" w:cs="Times New Roman"/>
          <w:iCs/>
          <w:color w:val="000000" w:themeColor="text1"/>
          <w:sz w:val="28"/>
          <w:szCs w:val="28"/>
        </w:rPr>
        <w:t xml:space="preserve"> </w:t>
      </w:r>
      <w:r w:rsidR="0091207D" w:rsidRPr="0091207D">
        <w:rPr>
          <w:rFonts w:ascii="Times New Roman" w:hAnsi="Times New Roman" w:cs="Times New Roman"/>
          <w:color w:val="000000" w:themeColor="text1"/>
          <w:sz w:val="28"/>
          <w:szCs w:val="28"/>
        </w:rPr>
        <w:t>Nghị quyết số 15/2024/NQ-HĐND ngày 12/7/2024 của HĐND tỉnh Bình Định (trước sắp xếp) Quy định Chính sách hỗ trợ thu hút đoàn khách đến tỉnh Bình Định dự hội nghị, hội thảo</w:t>
      </w:r>
      <w:r w:rsidR="00913923" w:rsidRPr="00E61143">
        <w:rPr>
          <w:rFonts w:ascii="Times New Roman" w:hAnsi="Times New Roman" w:cs="Times New Roman"/>
          <w:color w:val="000000" w:themeColor="text1"/>
          <w:sz w:val="28"/>
          <w:szCs w:val="28"/>
        </w:rPr>
        <w:t xml:space="preserve">, như sau: </w:t>
      </w:r>
    </w:p>
    <w:p w:rsidR="00DB2E1B" w:rsidRPr="00E61143" w:rsidRDefault="00DB2E1B" w:rsidP="00DB2E1B">
      <w:pPr>
        <w:tabs>
          <w:tab w:val="left" w:pos="720"/>
        </w:tabs>
        <w:spacing w:after="0" w:line="240" w:lineRule="auto"/>
        <w:jc w:val="both"/>
        <w:rPr>
          <w:rFonts w:ascii="Times New Roman" w:hAnsi="Times New Roman" w:cs="Times New Roman"/>
          <w:iCs/>
          <w:color w:val="000000" w:themeColor="text1"/>
          <w:sz w:val="18"/>
          <w:szCs w:val="28"/>
        </w:rPr>
      </w:pPr>
    </w:p>
    <w:tbl>
      <w:tblPr>
        <w:tblStyle w:val="TableGrid"/>
        <w:tblW w:w="10490" w:type="dxa"/>
        <w:tblInd w:w="-743" w:type="dxa"/>
        <w:tblLook w:val="04A0" w:firstRow="1" w:lastRow="0" w:firstColumn="1" w:lastColumn="0" w:noHBand="0" w:noVBand="1"/>
      </w:tblPr>
      <w:tblGrid>
        <w:gridCol w:w="3828"/>
        <w:gridCol w:w="3544"/>
        <w:gridCol w:w="3118"/>
      </w:tblGrid>
      <w:tr w:rsidR="00CC7CFB" w:rsidRPr="00E61143" w:rsidTr="00A35B28">
        <w:tc>
          <w:tcPr>
            <w:tcW w:w="3828" w:type="dxa"/>
          </w:tcPr>
          <w:p w:rsidR="00CC7CFB" w:rsidRPr="0098751F" w:rsidRDefault="0091207D" w:rsidP="00DB2E1B">
            <w:pPr>
              <w:tabs>
                <w:tab w:val="left" w:pos="720"/>
              </w:tabs>
              <w:jc w:val="center"/>
              <w:rPr>
                <w:rFonts w:ascii="Times New Roman" w:hAnsi="Times New Roman" w:cs="Times New Roman"/>
                <w:b/>
                <w:color w:val="000000" w:themeColor="text1"/>
                <w:sz w:val="28"/>
                <w:szCs w:val="28"/>
                <w:lang w:val="nl-NL" w:eastAsia="zh-CN"/>
              </w:rPr>
            </w:pPr>
            <w:r w:rsidRPr="0091207D">
              <w:rPr>
                <w:rFonts w:ascii="Times New Roman" w:hAnsi="Times New Roman" w:cs="Times New Roman"/>
                <w:b/>
                <w:color w:val="000000" w:themeColor="text1"/>
                <w:sz w:val="28"/>
                <w:szCs w:val="28"/>
                <w:lang w:val="nl-NL" w:eastAsia="zh-CN"/>
              </w:rPr>
              <w:t xml:space="preserve">Nghị quyết số 15/2024/NQ-HĐND ngày 12/7/2024 của HĐND tỉnh Bình Định (trước sắp xếp) Quy định Chính sách hỗ trợ thu hút đoàn khách đến tỉnh Bình Định dự hội nghị, hội thảo </w:t>
            </w:r>
          </w:p>
        </w:tc>
        <w:tc>
          <w:tcPr>
            <w:tcW w:w="3544" w:type="dxa"/>
            <w:vAlign w:val="center"/>
          </w:tcPr>
          <w:p w:rsidR="00CC7CFB" w:rsidRPr="0098751F" w:rsidRDefault="00CC7CFB" w:rsidP="00DB2E1B">
            <w:pPr>
              <w:tabs>
                <w:tab w:val="left" w:pos="720"/>
              </w:tabs>
              <w:jc w:val="center"/>
              <w:rPr>
                <w:rFonts w:ascii="Times New Roman" w:hAnsi="Times New Roman" w:cs="Times New Roman"/>
                <w:b/>
                <w:color w:val="000000" w:themeColor="text1"/>
                <w:sz w:val="28"/>
                <w:szCs w:val="28"/>
                <w:lang w:val="nl-NL" w:eastAsia="zh-CN"/>
              </w:rPr>
            </w:pPr>
            <w:r w:rsidRPr="0098751F">
              <w:rPr>
                <w:rFonts w:ascii="Times New Roman" w:hAnsi="Times New Roman" w:cs="Times New Roman"/>
                <w:b/>
                <w:color w:val="000000" w:themeColor="text1"/>
                <w:sz w:val="28"/>
                <w:szCs w:val="28"/>
              </w:rPr>
              <w:t xml:space="preserve">Dự thảo Nghị quyết </w:t>
            </w:r>
            <w:r w:rsidR="0091207D" w:rsidRPr="0091207D">
              <w:rPr>
                <w:rFonts w:ascii="Times New Roman" w:hAnsi="Times New Roman" w:cs="Times New Roman"/>
                <w:b/>
                <w:color w:val="000000" w:themeColor="text1"/>
                <w:sz w:val="28"/>
                <w:szCs w:val="28"/>
              </w:rPr>
              <w:t xml:space="preserve">Quy định Chính sách hỗ trợ thu hút đoàn khách đến tỉnh </w:t>
            </w:r>
            <w:r w:rsidR="0091207D">
              <w:rPr>
                <w:rFonts w:ascii="Times New Roman" w:hAnsi="Times New Roman" w:cs="Times New Roman"/>
                <w:b/>
                <w:color w:val="000000" w:themeColor="text1"/>
                <w:sz w:val="28"/>
                <w:szCs w:val="28"/>
              </w:rPr>
              <w:t>Gia Lai</w:t>
            </w:r>
            <w:r w:rsidR="0091207D" w:rsidRPr="0091207D">
              <w:rPr>
                <w:rFonts w:ascii="Times New Roman" w:hAnsi="Times New Roman" w:cs="Times New Roman"/>
                <w:b/>
                <w:color w:val="000000" w:themeColor="text1"/>
                <w:sz w:val="28"/>
                <w:szCs w:val="28"/>
              </w:rPr>
              <w:t xml:space="preserve"> dự hội nghị, hội thảo</w:t>
            </w:r>
          </w:p>
        </w:tc>
        <w:tc>
          <w:tcPr>
            <w:tcW w:w="3118" w:type="dxa"/>
            <w:vAlign w:val="center"/>
          </w:tcPr>
          <w:p w:rsidR="00CC7CFB" w:rsidRPr="0098751F" w:rsidRDefault="00CC7CFB" w:rsidP="00DB2E1B">
            <w:pPr>
              <w:tabs>
                <w:tab w:val="left" w:pos="720"/>
              </w:tabs>
              <w:jc w:val="center"/>
              <w:rPr>
                <w:rFonts w:ascii="Times New Roman" w:hAnsi="Times New Roman" w:cs="Times New Roman"/>
                <w:b/>
                <w:color w:val="000000" w:themeColor="text1"/>
                <w:sz w:val="28"/>
                <w:szCs w:val="28"/>
                <w:lang w:val="nl-NL" w:eastAsia="zh-CN"/>
              </w:rPr>
            </w:pPr>
            <w:r w:rsidRPr="0098751F">
              <w:rPr>
                <w:rFonts w:ascii="Times New Roman" w:hAnsi="Times New Roman" w:cs="Times New Roman"/>
                <w:b/>
                <w:color w:val="000000" w:themeColor="text1"/>
                <w:sz w:val="28"/>
                <w:szCs w:val="28"/>
                <w:lang w:val="nl-NL" w:eastAsia="zh-CN"/>
              </w:rPr>
              <w:t>Thuyết minh</w:t>
            </w:r>
          </w:p>
        </w:tc>
      </w:tr>
      <w:tr w:rsidR="00CC7CFB" w:rsidRPr="00E61143" w:rsidTr="00A35B28">
        <w:trPr>
          <w:trHeight w:val="55"/>
        </w:trPr>
        <w:tc>
          <w:tcPr>
            <w:tcW w:w="3828" w:type="dxa"/>
          </w:tcPr>
          <w:p w:rsidR="00A35B28" w:rsidRPr="00A35B28" w:rsidRDefault="00A35B28" w:rsidP="0098751F">
            <w:pPr>
              <w:spacing w:line="240" w:lineRule="atLeast"/>
              <w:jc w:val="both"/>
              <w:rPr>
                <w:rFonts w:ascii="Times New Roman" w:hAnsi="Times New Roman" w:cs="Times New Roman"/>
                <w:b/>
                <w:bCs/>
                <w:color w:val="000000"/>
                <w:sz w:val="24"/>
                <w:szCs w:val="24"/>
              </w:rPr>
            </w:pPr>
            <w:r w:rsidRPr="00A35B28">
              <w:rPr>
                <w:rFonts w:ascii="Times New Roman" w:hAnsi="Times New Roman" w:cs="Times New Roman"/>
                <w:b/>
                <w:bCs/>
                <w:color w:val="000000"/>
                <w:sz w:val="24"/>
                <w:szCs w:val="24"/>
              </w:rPr>
              <w:t xml:space="preserve">Điều </w:t>
            </w:r>
            <w:r w:rsidR="00CC7CFB" w:rsidRPr="00A35B28">
              <w:rPr>
                <w:rFonts w:ascii="Times New Roman" w:hAnsi="Times New Roman" w:cs="Times New Roman"/>
                <w:b/>
                <w:bCs/>
                <w:color w:val="000000"/>
                <w:sz w:val="24"/>
                <w:szCs w:val="24"/>
              </w:rPr>
              <w:t xml:space="preserve">1. </w:t>
            </w:r>
          </w:p>
          <w:p w:rsidR="00CC7CFB" w:rsidRPr="00A35B28" w:rsidRDefault="00A35B28" w:rsidP="0098751F">
            <w:pPr>
              <w:spacing w:line="240" w:lineRule="atLeast"/>
              <w:jc w:val="both"/>
              <w:rPr>
                <w:rFonts w:ascii="Times New Roman" w:hAnsi="Times New Roman" w:cs="Times New Roman"/>
                <w:color w:val="000000"/>
                <w:sz w:val="24"/>
                <w:szCs w:val="24"/>
              </w:rPr>
            </w:pPr>
            <w:r w:rsidRPr="00A35B28">
              <w:rPr>
                <w:rFonts w:ascii="Times New Roman" w:hAnsi="Times New Roman" w:cs="Times New Roman"/>
                <w:b/>
                <w:bCs/>
                <w:color w:val="000000"/>
                <w:sz w:val="24"/>
                <w:szCs w:val="24"/>
              </w:rPr>
              <w:t xml:space="preserve">1. </w:t>
            </w:r>
            <w:r w:rsidR="00CC7CFB" w:rsidRPr="00A35B28">
              <w:rPr>
                <w:rFonts w:ascii="Times New Roman" w:hAnsi="Times New Roman" w:cs="Times New Roman"/>
                <w:b/>
                <w:bCs/>
                <w:color w:val="000000"/>
                <w:sz w:val="24"/>
                <w:szCs w:val="24"/>
              </w:rPr>
              <w:t>Phạm vi điều chỉnh</w:t>
            </w:r>
          </w:p>
          <w:p w:rsidR="00CC7CFB" w:rsidRPr="00A35B28" w:rsidRDefault="0091207D" w:rsidP="0098751F">
            <w:pPr>
              <w:pStyle w:val="NormalWeb"/>
              <w:shd w:val="clear" w:color="auto" w:fill="FFFFFF"/>
              <w:spacing w:before="120" w:beforeAutospacing="0" w:after="120" w:afterAutospacing="0" w:line="234" w:lineRule="atLeast"/>
              <w:jc w:val="both"/>
              <w:rPr>
                <w:color w:val="000000"/>
              </w:rPr>
            </w:pPr>
            <w:r w:rsidRPr="00A35B28">
              <w:rPr>
                <w:color w:val="000000"/>
              </w:rPr>
              <w:t xml:space="preserve">   Quy định nội dung và mức hỗ trợ đối với các đoàn khách đến tỉnh Bình Định dự hội nghị, hội thảo.</w:t>
            </w:r>
            <w:r w:rsidRPr="00A35B28">
              <w:rPr>
                <w:color w:val="000000"/>
              </w:rPr>
              <w:tab/>
            </w:r>
          </w:p>
        </w:tc>
        <w:tc>
          <w:tcPr>
            <w:tcW w:w="3544" w:type="dxa"/>
          </w:tcPr>
          <w:p w:rsidR="00CC7CFB" w:rsidRPr="00A35B28" w:rsidRDefault="00CC7CFB" w:rsidP="00CC7CFB">
            <w:pPr>
              <w:spacing w:before="120" w:after="120" w:line="280" w:lineRule="atLeast"/>
              <w:jc w:val="both"/>
              <w:rPr>
                <w:rFonts w:ascii="Times New Roman" w:eastAsia="Calibri" w:hAnsi="Times New Roman" w:cs="Times New Roman"/>
                <w:b/>
                <w:bCs/>
                <w:color w:val="000000"/>
                <w:sz w:val="24"/>
                <w:szCs w:val="24"/>
              </w:rPr>
            </w:pPr>
            <w:r w:rsidRPr="00A35B28">
              <w:rPr>
                <w:rFonts w:ascii="Times New Roman" w:eastAsia="Calibri" w:hAnsi="Times New Roman" w:cs="Times New Roman"/>
                <w:b/>
                <w:bCs/>
                <w:color w:val="000000"/>
                <w:sz w:val="24"/>
                <w:szCs w:val="24"/>
              </w:rPr>
              <w:t>Điều 1. Phạm vi điều chỉnh</w:t>
            </w:r>
          </w:p>
          <w:p w:rsidR="00CC7CFB" w:rsidRPr="00A35B28" w:rsidRDefault="0091207D" w:rsidP="00CC7CFB">
            <w:pPr>
              <w:spacing w:before="120" w:after="120" w:line="280" w:lineRule="atLeast"/>
              <w:jc w:val="both"/>
              <w:rPr>
                <w:rFonts w:ascii="Times New Roman" w:hAnsi="Times New Roman" w:cs="Times New Roman"/>
                <w:color w:val="000000"/>
                <w:sz w:val="24"/>
                <w:szCs w:val="24"/>
                <w:shd w:val="clear" w:color="auto" w:fill="FFFFFF"/>
              </w:rPr>
            </w:pPr>
            <w:r w:rsidRPr="00A35B28">
              <w:rPr>
                <w:rFonts w:ascii="Times New Roman" w:hAnsi="Times New Roman" w:cs="Times New Roman"/>
                <w:color w:val="000000"/>
                <w:sz w:val="24"/>
                <w:szCs w:val="24"/>
                <w:shd w:val="clear" w:color="auto" w:fill="FFFFFF"/>
              </w:rPr>
              <w:t xml:space="preserve">   Quy định nội dung và mức hỗ trợ đối với các đoàn khách đến tỉnh Gia Lai dự hội nghị, hội thảo.</w:t>
            </w:r>
            <w:r w:rsidRPr="00A35B28">
              <w:rPr>
                <w:rFonts w:ascii="Times New Roman" w:hAnsi="Times New Roman" w:cs="Times New Roman"/>
                <w:color w:val="000000"/>
                <w:sz w:val="24"/>
                <w:szCs w:val="24"/>
                <w:shd w:val="clear" w:color="auto" w:fill="FFFFFF"/>
              </w:rPr>
              <w:tab/>
            </w:r>
          </w:p>
        </w:tc>
        <w:tc>
          <w:tcPr>
            <w:tcW w:w="3118" w:type="dxa"/>
          </w:tcPr>
          <w:p w:rsidR="00CC7CFB" w:rsidRPr="00A35B28" w:rsidRDefault="0091207D" w:rsidP="0098751F">
            <w:pPr>
              <w:spacing w:line="240" w:lineRule="atLeast"/>
              <w:jc w:val="both"/>
              <w:rPr>
                <w:rFonts w:ascii="Times New Roman" w:hAnsi="Times New Roman" w:cs="Times New Roman"/>
                <w:color w:val="000000" w:themeColor="text1"/>
                <w:sz w:val="24"/>
                <w:szCs w:val="24"/>
              </w:rPr>
            </w:pPr>
            <w:r w:rsidRPr="00A35B28">
              <w:rPr>
                <w:rFonts w:ascii="Times New Roman" w:hAnsi="Times New Roman" w:cs="Times New Roman"/>
                <w:color w:val="000000" w:themeColor="text1"/>
                <w:sz w:val="24"/>
                <w:szCs w:val="24"/>
              </w:rPr>
              <w:t xml:space="preserve">    </w:t>
            </w:r>
            <w:r w:rsidR="00CC7CFB" w:rsidRPr="00A35B28">
              <w:rPr>
                <w:rFonts w:ascii="Times New Roman" w:hAnsi="Times New Roman" w:cs="Times New Roman"/>
                <w:color w:val="000000" w:themeColor="text1"/>
                <w:sz w:val="24"/>
                <w:szCs w:val="24"/>
              </w:rPr>
              <w:t xml:space="preserve">Kế thừa Nghị quyết số </w:t>
            </w:r>
            <w:r w:rsidRPr="00A35B28">
              <w:rPr>
                <w:rFonts w:ascii="Times New Roman" w:hAnsi="Times New Roman" w:cs="Times New Roman"/>
                <w:color w:val="000000" w:themeColor="text1"/>
                <w:sz w:val="24"/>
                <w:szCs w:val="24"/>
              </w:rPr>
              <w:t>15/2024/NQ-HĐND ngày 12/7/2024 của HĐND tỉnh Bình Định; điều chỉnh phạm vi Bình Định (trước sắp xếp) thành Gia Lai (sau sắp x</w:t>
            </w:r>
            <w:r w:rsidR="00A70619" w:rsidRPr="00A35B28">
              <w:rPr>
                <w:rFonts w:ascii="Times New Roman" w:hAnsi="Times New Roman" w:cs="Times New Roman"/>
                <w:color w:val="000000" w:themeColor="text1"/>
                <w:sz w:val="24"/>
                <w:szCs w:val="24"/>
              </w:rPr>
              <w:t>ế</w:t>
            </w:r>
            <w:r w:rsidRPr="00A35B28">
              <w:rPr>
                <w:rFonts w:ascii="Times New Roman" w:hAnsi="Times New Roman" w:cs="Times New Roman"/>
                <w:color w:val="000000" w:themeColor="text1"/>
                <w:sz w:val="24"/>
                <w:szCs w:val="24"/>
              </w:rPr>
              <w:t>p)</w:t>
            </w:r>
            <w:r w:rsidR="00A70619" w:rsidRPr="00A35B28">
              <w:rPr>
                <w:rFonts w:ascii="Times New Roman" w:hAnsi="Times New Roman" w:cs="Times New Roman"/>
                <w:color w:val="000000" w:themeColor="text1"/>
                <w:sz w:val="24"/>
                <w:szCs w:val="24"/>
              </w:rPr>
              <w:t>.</w:t>
            </w:r>
          </w:p>
        </w:tc>
      </w:tr>
      <w:tr w:rsidR="00CC7CFB" w:rsidRPr="00E61143" w:rsidTr="00A35B28">
        <w:tc>
          <w:tcPr>
            <w:tcW w:w="3828" w:type="dxa"/>
          </w:tcPr>
          <w:p w:rsidR="00CC7CFB" w:rsidRPr="00A35B28" w:rsidRDefault="00CC7CFB" w:rsidP="00CC7CFB">
            <w:pPr>
              <w:pStyle w:val="NormalWeb"/>
              <w:shd w:val="clear" w:color="auto" w:fill="FFFFFF"/>
              <w:spacing w:before="120" w:beforeAutospacing="0" w:after="120" w:afterAutospacing="0" w:line="234" w:lineRule="atLeast"/>
              <w:rPr>
                <w:color w:val="000000"/>
              </w:rPr>
            </w:pPr>
            <w:r w:rsidRPr="00A35B28">
              <w:rPr>
                <w:b/>
                <w:bCs/>
                <w:color w:val="000000"/>
              </w:rPr>
              <w:lastRenderedPageBreak/>
              <w:t>2. Đối tượng áp dụng</w:t>
            </w:r>
          </w:p>
          <w:p w:rsidR="00CC7CFB" w:rsidRPr="00A35B28" w:rsidRDefault="00C71C03" w:rsidP="00021573">
            <w:pPr>
              <w:widowControl w:val="0"/>
              <w:spacing w:before="120" w:after="120"/>
              <w:jc w:val="both"/>
              <w:rPr>
                <w:color w:val="000000"/>
                <w:sz w:val="24"/>
                <w:szCs w:val="24"/>
              </w:rPr>
            </w:pPr>
            <w:r w:rsidRPr="00A35B28">
              <w:rPr>
                <w:rFonts w:ascii="Times New Roman" w:eastAsia="Times New Roman" w:hAnsi="Times New Roman" w:cs="Times New Roman"/>
                <w:sz w:val="24"/>
                <w:szCs w:val="24"/>
                <w:lang w:eastAsia="vi-VN"/>
              </w:rPr>
              <w:t xml:space="preserve">  </w:t>
            </w:r>
            <w:r w:rsidR="0091207D" w:rsidRPr="00A35B28">
              <w:rPr>
                <w:rFonts w:ascii="Times New Roman" w:eastAsia="Times New Roman" w:hAnsi="Times New Roman" w:cs="Times New Roman"/>
                <w:sz w:val="24"/>
                <w:szCs w:val="24"/>
                <w:lang w:val="vi-VN" w:eastAsia="vi-VN"/>
              </w:rPr>
              <w:t>Các doanh nghiệp; các tổ chức xã hội, tổ chức xã hội - nghề nghiệp được thành lập, tổ chức và hoạt động theo Nghị định số 45/2010/NĐ-CP ngày 21/4/2010 của Chính phủ Quy định về tổ chức, hoạt động và quản lý hội.</w:t>
            </w:r>
          </w:p>
        </w:tc>
        <w:tc>
          <w:tcPr>
            <w:tcW w:w="3544" w:type="dxa"/>
          </w:tcPr>
          <w:p w:rsidR="00CC7CFB" w:rsidRPr="00A35B28" w:rsidRDefault="00A35B28" w:rsidP="00CC7CFB">
            <w:pPr>
              <w:spacing w:before="120" w:after="120" w:line="280" w:lineRule="atLeast"/>
              <w:jc w:val="both"/>
              <w:rPr>
                <w:rFonts w:ascii="Times New Roman" w:eastAsia="Calibri" w:hAnsi="Times New Roman" w:cs="Times New Roman"/>
                <w:b/>
                <w:bCs/>
                <w:color w:val="000000"/>
                <w:sz w:val="24"/>
                <w:szCs w:val="24"/>
              </w:rPr>
            </w:pPr>
            <w:r w:rsidRPr="00A35B28">
              <w:rPr>
                <w:rFonts w:ascii="Times New Roman" w:eastAsia="Calibri" w:hAnsi="Times New Roman" w:cs="Times New Roman"/>
                <w:b/>
                <w:bCs/>
                <w:color w:val="000000"/>
                <w:sz w:val="24"/>
                <w:szCs w:val="24"/>
              </w:rPr>
              <w:t xml:space="preserve">Điều </w:t>
            </w:r>
            <w:r w:rsidR="00CC7CFB" w:rsidRPr="00A35B28">
              <w:rPr>
                <w:rFonts w:ascii="Times New Roman" w:eastAsia="Calibri" w:hAnsi="Times New Roman" w:cs="Times New Roman"/>
                <w:b/>
                <w:bCs/>
                <w:color w:val="000000"/>
                <w:sz w:val="24"/>
                <w:szCs w:val="24"/>
              </w:rPr>
              <w:t>2. Đối tượng áp dụng</w:t>
            </w:r>
          </w:p>
          <w:p w:rsidR="00CC7CFB" w:rsidRPr="00A35B28" w:rsidRDefault="00A70619" w:rsidP="00E02CA4">
            <w:pPr>
              <w:widowControl w:val="0"/>
              <w:tabs>
                <w:tab w:val="left" w:pos="720"/>
              </w:tabs>
              <w:spacing w:before="120"/>
              <w:jc w:val="both"/>
              <w:rPr>
                <w:rFonts w:ascii="Times New Roman" w:eastAsia="Times New Roman" w:hAnsi="Times New Roman" w:cs="Times New Roman"/>
                <w:color w:val="000000" w:themeColor="text1"/>
                <w:sz w:val="24"/>
                <w:szCs w:val="24"/>
                <w:lang w:eastAsia="vi-VN"/>
              </w:rPr>
            </w:pPr>
            <w:r w:rsidRPr="00A35B28">
              <w:rPr>
                <w:rFonts w:ascii="Times New Roman" w:eastAsia="Times New Roman" w:hAnsi="Times New Roman" w:cs="Times New Roman"/>
                <w:sz w:val="24"/>
                <w:szCs w:val="24"/>
                <w:lang w:eastAsia="vi-VN"/>
              </w:rPr>
              <w:t xml:space="preserve">  </w:t>
            </w:r>
            <w:r w:rsidR="0091207D" w:rsidRPr="00A35B28">
              <w:rPr>
                <w:rFonts w:ascii="Times New Roman" w:eastAsia="Times New Roman" w:hAnsi="Times New Roman" w:cs="Times New Roman"/>
                <w:sz w:val="24"/>
                <w:szCs w:val="24"/>
                <w:lang w:val="vi-VN" w:eastAsia="vi-VN"/>
              </w:rPr>
              <w:t xml:space="preserve">Các doanh nghiệp; các tổ chức xã hội, tổ chức xã hội - nghề nghiệp được thành lập, tổ chức và hoạt động theo </w:t>
            </w:r>
            <w:r w:rsidR="00C71C03" w:rsidRPr="00A35B28">
              <w:rPr>
                <w:rFonts w:ascii="Times New Roman" w:eastAsia="Times New Roman" w:hAnsi="Times New Roman" w:cs="Times New Roman"/>
                <w:sz w:val="24"/>
                <w:szCs w:val="24"/>
                <w:lang w:val="vi-VN" w:eastAsia="vi-VN"/>
              </w:rPr>
              <w:t xml:space="preserve">Nghị định số 126/2024/NĐ-CP </w:t>
            </w:r>
            <w:r w:rsidR="00C71C03" w:rsidRPr="00A35B28">
              <w:rPr>
                <w:rFonts w:ascii="Times New Roman" w:eastAsia="Times New Roman" w:hAnsi="Times New Roman" w:cs="Times New Roman"/>
                <w:sz w:val="24"/>
                <w:szCs w:val="24"/>
                <w:lang w:eastAsia="vi-VN"/>
              </w:rPr>
              <w:t xml:space="preserve">ngày 08/10/2024 </w:t>
            </w:r>
            <w:r w:rsidR="00C71C03" w:rsidRPr="00A35B28">
              <w:rPr>
                <w:rFonts w:ascii="Times New Roman" w:eastAsia="Times New Roman" w:hAnsi="Times New Roman" w:cs="Times New Roman"/>
                <w:sz w:val="24"/>
                <w:szCs w:val="24"/>
                <w:lang w:val="vi-VN" w:eastAsia="vi-VN"/>
              </w:rPr>
              <w:t>của Chính phủ Quy định về tổ chức, hoạt động và quản lý hội</w:t>
            </w:r>
            <w:r w:rsidR="00C71C03" w:rsidRPr="00A35B28">
              <w:rPr>
                <w:rFonts w:ascii="Times New Roman" w:eastAsia="Times New Roman" w:hAnsi="Times New Roman" w:cs="Times New Roman"/>
                <w:sz w:val="24"/>
                <w:szCs w:val="24"/>
                <w:lang w:eastAsia="vi-VN"/>
              </w:rPr>
              <w:t>.</w:t>
            </w:r>
          </w:p>
        </w:tc>
        <w:tc>
          <w:tcPr>
            <w:tcW w:w="3118" w:type="dxa"/>
          </w:tcPr>
          <w:p w:rsidR="00CC7CFB" w:rsidRPr="00A35B28" w:rsidRDefault="00021573" w:rsidP="00E02CA4">
            <w:pPr>
              <w:widowControl w:val="0"/>
              <w:tabs>
                <w:tab w:val="left" w:pos="720"/>
              </w:tabs>
              <w:spacing w:before="120"/>
              <w:jc w:val="both"/>
              <w:rPr>
                <w:rFonts w:ascii="Times New Roman" w:eastAsia="Times New Roman" w:hAnsi="Times New Roman" w:cs="Times New Roman"/>
                <w:color w:val="000000" w:themeColor="text1"/>
                <w:sz w:val="24"/>
                <w:szCs w:val="24"/>
                <w:lang w:eastAsia="vi-VN"/>
              </w:rPr>
            </w:pPr>
            <w:r w:rsidRPr="00A35B28">
              <w:rPr>
                <w:rFonts w:ascii="Times New Roman" w:hAnsi="Times New Roman" w:cs="Times New Roman"/>
                <w:color w:val="000000" w:themeColor="text1"/>
                <w:sz w:val="24"/>
                <w:szCs w:val="24"/>
              </w:rPr>
              <w:t xml:space="preserve">    </w:t>
            </w:r>
            <w:r w:rsidR="00A70619" w:rsidRPr="00A35B28">
              <w:rPr>
                <w:rFonts w:ascii="Times New Roman" w:hAnsi="Times New Roman" w:cs="Times New Roman"/>
                <w:color w:val="000000" w:themeColor="text1"/>
                <w:sz w:val="24"/>
                <w:szCs w:val="24"/>
              </w:rPr>
              <w:t>Kế thừa Nghị quyết số 15/2024/NQ-HĐND ngày 12/7/2024 của HĐND tỉnh Bình Định; đối tượng áp dụng không thay đổi.</w:t>
            </w:r>
            <w:r w:rsidR="00C71C03" w:rsidRPr="00A35B28">
              <w:rPr>
                <w:rFonts w:ascii="Times New Roman" w:hAnsi="Times New Roman" w:cs="Times New Roman"/>
                <w:color w:val="000000" w:themeColor="text1"/>
                <w:sz w:val="24"/>
                <w:szCs w:val="24"/>
              </w:rPr>
              <w:t xml:space="preserve"> (Nghị định số 45/2010/NĐ-CP ngày 21/4/2010 của Chính phủ hết hiệu lực và được thay thế bằng Nghị định số 126/2024/NĐ-CP ngày 08/10/2024 của Chính phủ).</w:t>
            </w:r>
          </w:p>
        </w:tc>
      </w:tr>
      <w:tr w:rsidR="00CC7CFB" w:rsidRPr="00E61143" w:rsidTr="00A35B28">
        <w:tc>
          <w:tcPr>
            <w:tcW w:w="3828" w:type="dxa"/>
          </w:tcPr>
          <w:p w:rsidR="00C71C03" w:rsidRPr="00A35B28" w:rsidRDefault="00CC7CFB" w:rsidP="00C71C03">
            <w:pPr>
              <w:shd w:val="clear" w:color="auto" w:fill="FFFFFF"/>
              <w:spacing w:before="120" w:after="120" w:line="288" w:lineRule="auto"/>
              <w:jc w:val="both"/>
              <w:rPr>
                <w:rFonts w:ascii="Times New Roman" w:eastAsia="Times New Roman" w:hAnsi="Times New Roman" w:cs="Times New Roman"/>
                <w:sz w:val="24"/>
                <w:szCs w:val="24"/>
                <w:lang w:val="pl-PL"/>
              </w:rPr>
            </w:pPr>
            <w:r w:rsidRPr="00A35B28">
              <w:rPr>
                <w:rFonts w:ascii="Times New Roman" w:hAnsi="Times New Roman" w:cs="Times New Roman"/>
                <w:b/>
                <w:bCs/>
                <w:color w:val="000000"/>
                <w:sz w:val="24"/>
                <w:szCs w:val="24"/>
              </w:rPr>
              <w:t xml:space="preserve">3. </w:t>
            </w:r>
            <w:bookmarkStart w:id="1" w:name="_Hlk169849967"/>
            <w:r w:rsidR="00C71C03" w:rsidRPr="00A35B28">
              <w:rPr>
                <w:rFonts w:ascii="Times New Roman" w:eastAsia="Times New Roman" w:hAnsi="Times New Roman" w:cs="Times New Roman"/>
                <w:b/>
                <w:sz w:val="24"/>
                <w:szCs w:val="24"/>
                <w:lang w:val="pl-PL"/>
              </w:rPr>
              <w:t>Điều kiện, nguyên tắc hỗ trợ</w:t>
            </w:r>
            <w:r w:rsidR="00C71C03" w:rsidRPr="00A35B28">
              <w:rPr>
                <w:rFonts w:ascii="Times New Roman" w:eastAsia="Times New Roman" w:hAnsi="Times New Roman" w:cs="Times New Roman"/>
                <w:sz w:val="24"/>
                <w:szCs w:val="24"/>
                <w:lang w:val="pl-PL"/>
              </w:rPr>
              <w:t xml:space="preserve"> </w:t>
            </w:r>
          </w:p>
          <w:p w:rsidR="00C71C03" w:rsidRPr="00A35B28" w:rsidRDefault="00C71C03" w:rsidP="00C71C03">
            <w:pPr>
              <w:shd w:val="clear" w:color="auto" w:fill="FFFFFF"/>
              <w:spacing w:before="120" w:after="120" w:line="288" w:lineRule="auto"/>
              <w:jc w:val="both"/>
              <w:rPr>
                <w:rFonts w:ascii="Times New Roman" w:eastAsia="Times New Roman" w:hAnsi="Times New Roman"/>
                <w:sz w:val="24"/>
                <w:szCs w:val="24"/>
                <w:lang w:val="pl-PL"/>
              </w:rPr>
            </w:pPr>
            <w:r w:rsidRPr="00A35B28">
              <w:rPr>
                <w:rFonts w:ascii="Times New Roman" w:eastAsia="Times New Roman" w:hAnsi="Times New Roman"/>
                <w:sz w:val="24"/>
                <w:szCs w:val="24"/>
                <w:lang w:val="pl-PL"/>
              </w:rPr>
              <w:t xml:space="preserve">a) Điều kiện hỗ trợ: Đoàn khách đến tỉnh </w:t>
            </w:r>
            <w:r w:rsidRPr="00A35B28">
              <w:rPr>
                <w:rFonts w:ascii="Times New Roman" w:hAnsi="Times New Roman"/>
                <w:sz w:val="24"/>
                <w:szCs w:val="24"/>
                <w:lang w:val="pl-PL"/>
              </w:rPr>
              <w:t>Bình Định</w:t>
            </w:r>
            <w:r w:rsidRPr="00A35B28">
              <w:rPr>
                <w:rFonts w:ascii="Times New Roman" w:eastAsia="Times New Roman" w:hAnsi="Times New Roman"/>
                <w:sz w:val="24"/>
                <w:szCs w:val="24"/>
                <w:lang w:val="pl-PL"/>
              </w:rPr>
              <w:t xml:space="preserve"> tham dự hội nghị, hội thảo có số lượng tối thiểu là 100 khách (không kể khách mời trong tỉnh)</w:t>
            </w:r>
            <w:bookmarkEnd w:id="1"/>
            <w:r w:rsidRPr="00A35B28">
              <w:rPr>
                <w:rFonts w:ascii="Times New Roman" w:eastAsia="Times New Roman" w:hAnsi="Times New Roman"/>
                <w:sz w:val="24"/>
                <w:szCs w:val="24"/>
                <w:lang w:val="pl-PL"/>
              </w:rPr>
              <w:t xml:space="preserve">. </w:t>
            </w:r>
          </w:p>
          <w:p w:rsidR="00C71C03" w:rsidRPr="00A35B28" w:rsidRDefault="00C71C03" w:rsidP="00C71C03">
            <w:pPr>
              <w:spacing w:before="120" w:after="120" w:line="288" w:lineRule="auto"/>
              <w:jc w:val="both"/>
              <w:rPr>
                <w:rFonts w:ascii="Times New Roman" w:eastAsia="Times New Roman" w:hAnsi="Times New Roman"/>
                <w:bCs/>
                <w:sz w:val="24"/>
                <w:szCs w:val="24"/>
                <w:lang w:val="pl-PL"/>
              </w:rPr>
            </w:pPr>
            <w:r w:rsidRPr="00A35B28">
              <w:rPr>
                <w:rFonts w:ascii="Times New Roman" w:eastAsia="Times New Roman" w:hAnsi="Times New Roman"/>
                <w:bCs/>
                <w:sz w:val="24"/>
                <w:szCs w:val="24"/>
              </w:rPr>
              <w:t>b)</w:t>
            </w:r>
            <w:r w:rsidRPr="00A35B28">
              <w:rPr>
                <w:rFonts w:ascii="Times New Roman" w:eastAsia="Times New Roman" w:hAnsi="Times New Roman"/>
                <w:bCs/>
                <w:sz w:val="24"/>
                <w:szCs w:val="24"/>
                <w:lang w:val="pl-PL"/>
              </w:rPr>
              <w:t xml:space="preserve"> Nguyên tắc hỗ trợ</w:t>
            </w:r>
          </w:p>
          <w:p w:rsidR="00C71C03" w:rsidRPr="00A35B28" w:rsidRDefault="00C71C03" w:rsidP="00C71C03">
            <w:pPr>
              <w:spacing w:before="120" w:after="120" w:line="288" w:lineRule="auto"/>
              <w:jc w:val="both"/>
              <w:rPr>
                <w:rFonts w:ascii="Times New Roman" w:eastAsia="Times New Roman" w:hAnsi="Times New Roman"/>
                <w:sz w:val="24"/>
                <w:szCs w:val="24"/>
              </w:rPr>
            </w:pPr>
            <w:r w:rsidRPr="00A35B28">
              <w:rPr>
                <w:rFonts w:ascii="Times New Roman" w:eastAsia="Times New Roman" w:hAnsi="Times New Roman"/>
                <w:sz w:val="24"/>
                <w:szCs w:val="24"/>
              </w:rPr>
              <w:t>- Đảm bảo đúng đối tượng, công khai, minh bạch, tránh trục lợi chính sách.</w:t>
            </w:r>
          </w:p>
          <w:p w:rsidR="00CC7CFB" w:rsidRPr="00A35B28" w:rsidRDefault="00C71C03" w:rsidP="00021573">
            <w:pPr>
              <w:spacing w:before="120" w:after="120" w:line="288" w:lineRule="auto"/>
              <w:jc w:val="both"/>
              <w:rPr>
                <w:rFonts w:ascii="Times New Roman" w:hAnsi="Times New Roman" w:cs="Times New Roman"/>
                <w:i/>
                <w:iCs/>
                <w:color w:val="000000" w:themeColor="text1"/>
                <w:sz w:val="24"/>
                <w:szCs w:val="24"/>
              </w:rPr>
            </w:pPr>
            <w:r w:rsidRPr="00A35B28">
              <w:rPr>
                <w:rFonts w:ascii="Times New Roman" w:eastAsia="Times New Roman" w:hAnsi="Times New Roman"/>
                <w:sz w:val="24"/>
                <w:szCs w:val="24"/>
              </w:rPr>
              <w:t>- Việc hỗ trợ được thực hiện khi có đủ hồ sơ hợp lệ theo quy định.</w:t>
            </w:r>
          </w:p>
        </w:tc>
        <w:tc>
          <w:tcPr>
            <w:tcW w:w="3544" w:type="dxa"/>
          </w:tcPr>
          <w:p w:rsidR="00C71C03" w:rsidRPr="00A35B28" w:rsidRDefault="00A35B28" w:rsidP="00C71C03">
            <w:pPr>
              <w:shd w:val="clear" w:color="auto" w:fill="FFFFFF"/>
              <w:spacing w:before="120" w:after="120" w:line="288" w:lineRule="auto"/>
              <w:jc w:val="both"/>
              <w:rPr>
                <w:rFonts w:ascii="Times New Roman" w:eastAsia="Times New Roman" w:hAnsi="Times New Roman"/>
                <w:b/>
                <w:sz w:val="24"/>
                <w:szCs w:val="24"/>
                <w:lang w:val="pl-PL"/>
              </w:rPr>
            </w:pPr>
            <w:r w:rsidRPr="00A35B28">
              <w:rPr>
                <w:rFonts w:ascii="Times New Roman" w:eastAsia="Times New Roman" w:hAnsi="Times New Roman"/>
                <w:b/>
                <w:sz w:val="24"/>
                <w:szCs w:val="24"/>
                <w:lang w:val="pl-PL"/>
              </w:rPr>
              <w:t xml:space="preserve">Điều </w:t>
            </w:r>
            <w:r w:rsidR="00C71C03" w:rsidRPr="00A35B28">
              <w:rPr>
                <w:rFonts w:ascii="Times New Roman" w:eastAsia="Times New Roman" w:hAnsi="Times New Roman"/>
                <w:b/>
                <w:sz w:val="24"/>
                <w:szCs w:val="24"/>
                <w:lang w:val="pl-PL"/>
              </w:rPr>
              <w:t xml:space="preserve">3. Điều kiện, nguyên tắc hỗ trợ </w:t>
            </w:r>
          </w:p>
          <w:p w:rsidR="00C71C03" w:rsidRPr="00A35B28" w:rsidRDefault="00A35B28" w:rsidP="00C71C03">
            <w:pPr>
              <w:shd w:val="clear" w:color="auto" w:fill="FFFFFF"/>
              <w:spacing w:before="120" w:after="120" w:line="288" w:lineRule="auto"/>
              <w:jc w:val="both"/>
              <w:rPr>
                <w:rFonts w:ascii="Times New Roman" w:eastAsia="Times New Roman" w:hAnsi="Times New Roman"/>
                <w:sz w:val="24"/>
                <w:szCs w:val="24"/>
                <w:lang w:val="pl-PL"/>
              </w:rPr>
            </w:pPr>
            <w:r w:rsidRPr="00A35B28">
              <w:rPr>
                <w:rFonts w:ascii="Times New Roman" w:eastAsia="Times New Roman" w:hAnsi="Times New Roman"/>
                <w:sz w:val="24"/>
                <w:szCs w:val="24"/>
                <w:lang w:val="pl-PL"/>
              </w:rPr>
              <w:t>1.</w:t>
            </w:r>
            <w:r w:rsidR="00C71C03" w:rsidRPr="00A35B28">
              <w:rPr>
                <w:rFonts w:ascii="Times New Roman" w:eastAsia="Times New Roman" w:hAnsi="Times New Roman"/>
                <w:sz w:val="24"/>
                <w:szCs w:val="24"/>
                <w:lang w:val="pl-PL"/>
              </w:rPr>
              <w:t xml:space="preserve"> Điều kiện hỗ trợ: Đoàn khách đến tỉnh </w:t>
            </w:r>
            <w:r w:rsidR="00C71C03" w:rsidRPr="00A35B28">
              <w:rPr>
                <w:rFonts w:ascii="Times New Roman" w:hAnsi="Times New Roman"/>
                <w:sz w:val="24"/>
                <w:szCs w:val="24"/>
              </w:rPr>
              <w:t>Gia Lai</w:t>
            </w:r>
            <w:r w:rsidR="00C71C03" w:rsidRPr="00A35B28">
              <w:rPr>
                <w:rFonts w:ascii="Times New Roman" w:eastAsia="Times New Roman" w:hAnsi="Times New Roman"/>
                <w:sz w:val="24"/>
                <w:szCs w:val="24"/>
                <w:lang w:val="pl-PL"/>
              </w:rPr>
              <w:t xml:space="preserve"> tham dự hội nghị, hội thảo có số lượng tối thiểu là 100 khách (không kể khách mời trong tỉnh). </w:t>
            </w:r>
          </w:p>
          <w:p w:rsidR="00C71C03" w:rsidRPr="00A35B28" w:rsidRDefault="00A35B28" w:rsidP="00C71C03">
            <w:pPr>
              <w:spacing w:before="120" w:after="120" w:line="288" w:lineRule="auto"/>
              <w:jc w:val="both"/>
              <w:rPr>
                <w:rFonts w:ascii="Times New Roman" w:eastAsia="Times New Roman" w:hAnsi="Times New Roman"/>
                <w:bCs/>
                <w:sz w:val="24"/>
                <w:szCs w:val="24"/>
                <w:lang w:val="pl-PL"/>
              </w:rPr>
            </w:pPr>
            <w:r w:rsidRPr="00A35B28">
              <w:rPr>
                <w:rFonts w:ascii="Times New Roman" w:eastAsia="Times New Roman" w:hAnsi="Times New Roman"/>
                <w:bCs/>
                <w:sz w:val="24"/>
                <w:szCs w:val="24"/>
              </w:rPr>
              <w:t>2.</w:t>
            </w:r>
            <w:r w:rsidR="00C71C03" w:rsidRPr="00A35B28">
              <w:rPr>
                <w:rFonts w:ascii="Times New Roman" w:eastAsia="Times New Roman" w:hAnsi="Times New Roman"/>
                <w:bCs/>
                <w:sz w:val="24"/>
                <w:szCs w:val="24"/>
                <w:lang w:val="pl-PL"/>
              </w:rPr>
              <w:t xml:space="preserve"> Nguyên tắc hỗ trợ</w:t>
            </w:r>
          </w:p>
          <w:p w:rsidR="00C71C03" w:rsidRPr="00A35B28" w:rsidRDefault="00A35B28" w:rsidP="00C71C03">
            <w:pPr>
              <w:spacing w:before="120" w:after="120" w:line="288" w:lineRule="auto"/>
              <w:jc w:val="both"/>
              <w:rPr>
                <w:rFonts w:ascii="Times New Roman" w:eastAsia="Times New Roman" w:hAnsi="Times New Roman"/>
                <w:sz w:val="24"/>
                <w:szCs w:val="24"/>
              </w:rPr>
            </w:pPr>
            <w:r w:rsidRPr="00A35B28">
              <w:rPr>
                <w:rFonts w:ascii="Times New Roman" w:eastAsia="Times New Roman" w:hAnsi="Times New Roman"/>
                <w:sz w:val="24"/>
                <w:szCs w:val="24"/>
              </w:rPr>
              <w:t>a)</w:t>
            </w:r>
            <w:r w:rsidR="00C71C03" w:rsidRPr="00A35B28">
              <w:rPr>
                <w:rFonts w:ascii="Times New Roman" w:eastAsia="Times New Roman" w:hAnsi="Times New Roman"/>
                <w:sz w:val="24"/>
                <w:szCs w:val="24"/>
              </w:rPr>
              <w:t xml:space="preserve"> Đảm bảo đúng đối tượng, công khai, minh bạch, tránh trục lợi chính sách.</w:t>
            </w:r>
          </w:p>
          <w:p w:rsidR="00CC7CFB" w:rsidRPr="00A35B28" w:rsidRDefault="00A35B28" w:rsidP="00A35B28">
            <w:pPr>
              <w:spacing w:before="120" w:after="120" w:line="288" w:lineRule="auto"/>
              <w:jc w:val="both"/>
              <w:rPr>
                <w:rFonts w:ascii="Times New Roman" w:eastAsia="Times New Roman" w:hAnsi="Times New Roman" w:cs="Times New Roman"/>
                <w:color w:val="000000" w:themeColor="text1"/>
                <w:sz w:val="24"/>
                <w:szCs w:val="24"/>
                <w:lang w:eastAsia="vi-VN"/>
              </w:rPr>
            </w:pPr>
            <w:r w:rsidRPr="00A35B28">
              <w:rPr>
                <w:rFonts w:ascii="Times New Roman" w:eastAsia="Times New Roman" w:hAnsi="Times New Roman"/>
                <w:sz w:val="24"/>
                <w:szCs w:val="24"/>
              </w:rPr>
              <w:t>b)</w:t>
            </w:r>
            <w:r w:rsidR="00C71C03" w:rsidRPr="00A35B28">
              <w:rPr>
                <w:rFonts w:ascii="Times New Roman" w:eastAsia="Times New Roman" w:hAnsi="Times New Roman"/>
                <w:sz w:val="24"/>
                <w:szCs w:val="24"/>
              </w:rPr>
              <w:t xml:space="preserve"> Việc hỗ trợ được thực hiện khi có đủ hồ sơ hợp lệ theo quy định.</w:t>
            </w:r>
          </w:p>
        </w:tc>
        <w:tc>
          <w:tcPr>
            <w:tcW w:w="3118" w:type="dxa"/>
          </w:tcPr>
          <w:p w:rsidR="00CC7CFB" w:rsidRPr="00A35B28" w:rsidRDefault="00C71C03" w:rsidP="00E02CA4">
            <w:pPr>
              <w:widowControl w:val="0"/>
              <w:tabs>
                <w:tab w:val="left" w:pos="720"/>
              </w:tabs>
              <w:spacing w:before="120"/>
              <w:jc w:val="both"/>
              <w:rPr>
                <w:rFonts w:ascii="Times New Roman" w:eastAsia="Times New Roman" w:hAnsi="Times New Roman" w:cs="Times New Roman"/>
                <w:color w:val="000000" w:themeColor="text1"/>
                <w:sz w:val="24"/>
                <w:szCs w:val="24"/>
                <w:lang w:eastAsia="vi-VN"/>
              </w:rPr>
            </w:pPr>
            <w:r w:rsidRPr="00A35B28">
              <w:rPr>
                <w:rFonts w:ascii="Times New Roman" w:hAnsi="Times New Roman" w:cs="Times New Roman"/>
                <w:color w:val="000000" w:themeColor="text1"/>
                <w:sz w:val="24"/>
                <w:szCs w:val="24"/>
              </w:rPr>
              <w:t xml:space="preserve">    Kế thừa Nghị quyết số 15/2024/NQ-HĐND ngày 12/7/2024 của HĐND tỉnh Bình Định; điều chỉnh phạm vi áp dụng từ Bình Định (trước sắp xếp) thành Gia Lai (sau sắp xếp).</w:t>
            </w:r>
          </w:p>
        </w:tc>
      </w:tr>
      <w:tr w:rsidR="00CC7CFB" w:rsidRPr="00E61143" w:rsidTr="00A35B28">
        <w:tc>
          <w:tcPr>
            <w:tcW w:w="3828" w:type="dxa"/>
          </w:tcPr>
          <w:p w:rsidR="00C71C03" w:rsidRPr="00A35B28" w:rsidRDefault="00C71C03" w:rsidP="00C71C03">
            <w:pPr>
              <w:spacing w:before="120" w:line="252" w:lineRule="auto"/>
              <w:jc w:val="both"/>
              <w:rPr>
                <w:rFonts w:ascii="Times New Roman" w:eastAsia="Times New Roman" w:hAnsi="Times New Roman"/>
                <w:sz w:val="24"/>
                <w:szCs w:val="24"/>
              </w:rPr>
            </w:pPr>
            <w:r w:rsidRPr="00A35B28">
              <w:rPr>
                <w:rFonts w:ascii="Times New Roman" w:eastAsia="Times New Roman" w:hAnsi="Times New Roman"/>
                <w:b/>
                <w:sz w:val="24"/>
                <w:szCs w:val="24"/>
              </w:rPr>
              <w:t>4. Nội dung hỗ trợ</w:t>
            </w:r>
            <w:r w:rsidRPr="00A35B28">
              <w:rPr>
                <w:rFonts w:ascii="Times New Roman" w:eastAsia="Times New Roman" w:hAnsi="Times New Roman"/>
                <w:sz w:val="24"/>
                <w:szCs w:val="24"/>
              </w:rPr>
              <w:t xml:space="preserve"> a) Hỗ trợ tiền thuê hội trường, phòng họp tại Trung tâm Hội nghị tỉnh: Hỗ trợ 50% theo đơn giá thuê (không bao gồm chi phí thuê màn hình led).</w:t>
            </w:r>
          </w:p>
          <w:p w:rsidR="00C71C03" w:rsidRPr="00A35B28" w:rsidRDefault="00C71C03" w:rsidP="00C71C03">
            <w:pPr>
              <w:spacing w:before="120" w:line="252" w:lineRule="auto"/>
              <w:jc w:val="both"/>
              <w:rPr>
                <w:rFonts w:ascii="Times New Roman" w:eastAsia="Times New Roman" w:hAnsi="Times New Roman"/>
                <w:sz w:val="24"/>
                <w:szCs w:val="24"/>
              </w:rPr>
            </w:pPr>
            <w:r w:rsidRPr="00A35B28">
              <w:rPr>
                <w:rFonts w:ascii="Times New Roman" w:eastAsia="Times New Roman" w:hAnsi="Times New Roman"/>
                <w:sz w:val="24"/>
                <w:szCs w:val="24"/>
              </w:rPr>
              <w:t>b) Hỗ trợ chi phí tổ chức chương trình biểu diễn nghệ thuật truyền thống phục vụ hội nghị, hội thảo</w:t>
            </w:r>
          </w:p>
          <w:p w:rsidR="00CC7CFB" w:rsidRPr="00A35B28" w:rsidRDefault="00C71C03" w:rsidP="0098751F">
            <w:pPr>
              <w:pStyle w:val="NormalWeb"/>
              <w:shd w:val="clear" w:color="auto" w:fill="FFFFFF"/>
              <w:spacing w:before="120" w:beforeAutospacing="0" w:after="120" w:afterAutospacing="0" w:line="234" w:lineRule="atLeast"/>
              <w:jc w:val="both"/>
              <w:rPr>
                <w:color w:val="000000"/>
              </w:rPr>
            </w:pPr>
            <w:r w:rsidRPr="00A35B28">
              <w:rPr>
                <w:rFonts w:cstheme="minorBidi"/>
              </w:rPr>
              <w:t>Hỗ trợ 50% chi phí biểu diễn nghệ thuật truyền thống Bình Định do Nhà hát nghệ thuật truyền thống tỉnh Bình Định thực hiện, nhưng không quá 8.000.000 đồng/chương trình.</w:t>
            </w:r>
          </w:p>
        </w:tc>
        <w:tc>
          <w:tcPr>
            <w:tcW w:w="3544" w:type="dxa"/>
          </w:tcPr>
          <w:p w:rsidR="00CC7CFB" w:rsidRPr="00A35B28" w:rsidRDefault="00A35B28" w:rsidP="00CC7CFB">
            <w:pPr>
              <w:spacing w:before="120" w:after="120" w:line="280" w:lineRule="atLeast"/>
              <w:jc w:val="both"/>
              <w:rPr>
                <w:rFonts w:ascii="Times New Roman" w:eastAsia="Calibri" w:hAnsi="Times New Roman" w:cs="Times New Roman"/>
                <w:color w:val="000000"/>
                <w:sz w:val="24"/>
                <w:szCs w:val="24"/>
              </w:rPr>
            </w:pPr>
            <w:r w:rsidRPr="00A35B28">
              <w:rPr>
                <w:rFonts w:ascii="Times New Roman" w:eastAsia="Calibri" w:hAnsi="Times New Roman" w:cs="Times New Roman"/>
                <w:b/>
                <w:color w:val="000000"/>
                <w:sz w:val="24"/>
                <w:szCs w:val="24"/>
              </w:rPr>
              <w:t xml:space="preserve">Điều </w:t>
            </w:r>
            <w:r w:rsidR="00CC7CFB" w:rsidRPr="00A35B28">
              <w:rPr>
                <w:rFonts w:ascii="Times New Roman" w:eastAsia="Calibri" w:hAnsi="Times New Roman" w:cs="Times New Roman"/>
                <w:b/>
                <w:color w:val="000000"/>
                <w:sz w:val="24"/>
                <w:szCs w:val="24"/>
              </w:rPr>
              <w:t xml:space="preserve">4. Nội dung hỗ trợ </w:t>
            </w:r>
          </w:p>
          <w:p w:rsidR="00C71C03" w:rsidRPr="00A35B28" w:rsidRDefault="00A35B28" w:rsidP="00C71C03">
            <w:pPr>
              <w:spacing w:before="120" w:line="252" w:lineRule="auto"/>
              <w:jc w:val="both"/>
              <w:rPr>
                <w:rFonts w:ascii="Times New Roman" w:eastAsia="Times New Roman" w:hAnsi="Times New Roman"/>
                <w:sz w:val="24"/>
                <w:szCs w:val="24"/>
              </w:rPr>
            </w:pPr>
            <w:r w:rsidRPr="00A35B28">
              <w:rPr>
                <w:rFonts w:ascii="Times New Roman" w:eastAsia="Times New Roman" w:hAnsi="Times New Roman"/>
                <w:sz w:val="24"/>
                <w:szCs w:val="24"/>
              </w:rPr>
              <w:t>1.</w:t>
            </w:r>
            <w:r w:rsidR="00C71C03" w:rsidRPr="00A35B28">
              <w:rPr>
                <w:rFonts w:ascii="Times New Roman" w:eastAsia="Times New Roman" w:hAnsi="Times New Roman"/>
                <w:sz w:val="24"/>
                <w:szCs w:val="24"/>
              </w:rPr>
              <w:t xml:space="preserve"> Hỗ trợ tiền thuê hội trường, phòng họp tại Trung tâm Hội nghị tỉnh: Hỗ trợ 50% theo đơn giá thuê (không bao gồm chi phí thuê màn hình led).</w:t>
            </w:r>
          </w:p>
          <w:p w:rsidR="00C71C03" w:rsidRPr="00A35B28" w:rsidRDefault="00A35B28" w:rsidP="00C71C03">
            <w:pPr>
              <w:spacing w:before="120" w:line="252" w:lineRule="auto"/>
              <w:jc w:val="both"/>
              <w:rPr>
                <w:rFonts w:ascii="Times New Roman" w:eastAsia="Times New Roman" w:hAnsi="Times New Roman"/>
                <w:sz w:val="24"/>
                <w:szCs w:val="24"/>
              </w:rPr>
            </w:pPr>
            <w:r w:rsidRPr="00A35B28">
              <w:rPr>
                <w:rFonts w:ascii="Times New Roman" w:eastAsia="Times New Roman" w:hAnsi="Times New Roman"/>
                <w:sz w:val="24"/>
                <w:szCs w:val="24"/>
              </w:rPr>
              <w:t>2.</w:t>
            </w:r>
            <w:r w:rsidR="00C71C03" w:rsidRPr="00A35B28">
              <w:rPr>
                <w:rFonts w:ascii="Times New Roman" w:eastAsia="Times New Roman" w:hAnsi="Times New Roman"/>
                <w:sz w:val="24"/>
                <w:szCs w:val="24"/>
              </w:rPr>
              <w:t xml:space="preserve"> Hỗ trợ chi phí tổ chức chương trình biểu diễn nghệ thuật truyền thống phục vụ hội nghị, hội thảo</w:t>
            </w:r>
          </w:p>
          <w:p w:rsidR="00C71C03" w:rsidRPr="00A35B28" w:rsidRDefault="00C71C03" w:rsidP="00C71C03">
            <w:pPr>
              <w:spacing w:before="120" w:line="252" w:lineRule="auto"/>
              <w:jc w:val="both"/>
              <w:rPr>
                <w:rFonts w:ascii="Times New Roman" w:eastAsia="Times New Roman" w:hAnsi="Times New Roman"/>
                <w:sz w:val="24"/>
                <w:szCs w:val="24"/>
              </w:rPr>
            </w:pPr>
            <w:r w:rsidRPr="00A35B28">
              <w:rPr>
                <w:rFonts w:ascii="Times New Roman" w:eastAsia="Times New Roman" w:hAnsi="Times New Roman"/>
                <w:sz w:val="24"/>
                <w:szCs w:val="24"/>
              </w:rPr>
              <w:t xml:space="preserve">Hỗ trợ 50% chi phí biểu diễn nghệ thuật truyền thống do </w:t>
            </w:r>
            <w:r w:rsidR="005B0415" w:rsidRPr="00A35B28">
              <w:rPr>
                <w:rFonts w:ascii="Times New Roman" w:eastAsia="Times New Roman" w:hAnsi="Times New Roman"/>
                <w:sz w:val="24"/>
                <w:szCs w:val="24"/>
              </w:rPr>
              <w:t>Sở Văn hoá, Thể thao và Du lịch</w:t>
            </w:r>
            <w:r w:rsidRPr="00A35B28">
              <w:rPr>
                <w:rFonts w:ascii="Times New Roman" w:eastAsia="Times New Roman" w:hAnsi="Times New Roman"/>
                <w:sz w:val="24"/>
                <w:szCs w:val="24"/>
              </w:rPr>
              <w:t xml:space="preserve"> tỉnh </w:t>
            </w:r>
            <w:r w:rsidRPr="00A35B28">
              <w:rPr>
                <w:rFonts w:ascii="Times New Roman" w:hAnsi="Times New Roman"/>
                <w:sz w:val="24"/>
                <w:szCs w:val="24"/>
              </w:rPr>
              <w:t>Gia Lai</w:t>
            </w:r>
            <w:r w:rsidR="005B0415" w:rsidRPr="00A35B28">
              <w:rPr>
                <w:rFonts w:ascii="Times New Roman" w:hAnsi="Times New Roman"/>
                <w:sz w:val="24"/>
                <w:szCs w:val="24"/>
              </w:rPr>
              <w:t xml:space="preserve"> </w:t>
            </w:r>
            <w:r w:rsidRPr="00A35B28">
              <w:rPr>
                <w:rFonts w:ascii="Times New Roman" w:eastAsia="Times New Roman" w:hAnsi="Times New Roman"/>
                <w:sz w:val="24"/>
                <w:szCs w:val="24"/>
              </w:rPr>
              <w:t>thực hiện, nhưng không quá 8.000.000 đồng/chương trình.</w:t>
            </w:r>
          </w:p>
          <w:p w:rsidR="00CC7CFB" w:rsidRPr="00A35B28" w:rsidRDefault="00CC7CFB" w:rsidP="00E02CA4">
            <w:pPr>
              <w:widowControl w:val="0"/>
              <w:tabs>
                <w:tab w:val="left" w:pos="720"/>
              </w:tabs>
              <w:spacing w:before="120"/>
              <w:jc w:val="both"/>
              <w:rPr>
                <w:rFonts w:ascii="Times New Roman" w:eastAsia="Times New Roman" w:hAnsi="Times New Roman" w:cs="Times New Roman"/>
                <w:color w:val="000000" w:themeColor="text1"/>
                <w:sz w:val="24"/>
                <w:szCs w:val="24"/>
                <w:lang w:eastAsia="vi-VN"/>
              </w:rPr>
            </w:pPr>
          </w:p>
        </w:tc>
        <w:tc>
          <w:tcPr>
            <w:tcW w:w="3118" w:type="dxa"/>
          </w:tcPr>
          <w:p w:rsidR="00CC7CFB" w:rsidRPr="00A35B28" w:rsidRDefault="005B0415" w:rsidP="00E02CA4">
            <w:pPr>
              <w:widowControl w:val="0"/>
              <w:tabs>
                <w:tab w:val="left" w:pos="720"/>
              </w:tabs>
              <w:spacing w:before="120"/>
              <w:jc w:val="both"/>
              <w:rPr>
                <w:rFonts w:ascii="Times New Roman" w:eastAsia="Times New Roman" w:hAnsi="Times New Roman" w:cs="Times New Roman"/>
                <w:color w:val="000000" w:themeColor="text1"/>
                <w:sz w:val="24"/>
                <w:szCs w:val="24"/>
                <w:lang w:eastAsia="vi-VN"/>
              </w:rPr>
            </w:pPr>
            <w:r w:rsidRPr="00A35B28">
              <w:rPr>
                <w:rFonts w:ascii="Times New Roman" w:hAnsi="Times New Roman" w:cs="Times New Roman"/>
                <w:color w:val="000000" w:themeColor="text1"/>
                <w:sz w:val="24"/>
                <w:szCs w:val="24"/>
              </w:rPr>
              <w:t xml:space="preserve">   Kế thừa Nghị quyết số 15/2024/NQ-HĐND ngày 12/7/2024 của HĐND tỉnh Bình Định; thay đổi đơn vị thực hiện chương trình nghệ thuật truyền thống từ </w:t>
            </w:r>
            <w:r w:rsidRPr="00A35B28">
              <w:rPr>
                <w:rFonts w:ascii="Times New Roman" w:hAnsi="Times New Roman" w:cs="Times New Roman"/>
                <w:sz w:val="24"/>
                <w:szCs w:val="24"/>
              </w:rPr>
              <w:t>“</w:t>
            </w:r>
            <w:r w:rsidRPr="00A35B28">
              <w:rPr>
                <w:rFonts w:ascii="Times New Roman" w:hAnsi="Times New Roman" w:cs="Times New Roman"/>
                <w:color w:val="000000" w:themeColor="text1"/>
                <w:sz w:val="24"/>
                <w:szCs w:val="24"/>
              </w:rPr>
              <w:t>Nhà hát nghệ thuật truyền thống tỉnh Bình Định thực hiện” thành</w:t>
            </w:r>
            <w:r w:rsidRPr="00A35B28">
              <w:rPr>
                <w:sz w:val="24"/>
                <w:szCs w:val="24"/>
              </w:rPr>
              <w:t xml:space="preserve"> </w:t>
            </w:r>
            <w:r w:rsidRPr="00A35B28">
              <w:rPr>
                <w:rFonts w:ascii="Times New Roman" w:hAnsi="Times New Roman" w:cs="Times New Roman"/>
                <w:sz w:val="24"/>
                <w:szCs w:val="24"/>
              </w:rPr>
              <w:t>“</w:t>
            </w:r>
            <w:r w:rsidRPr="00A35B28">
              <w:rPr>
                <w:rFonts w:ascii="Times New Roman" w:hAnsi="Times New Roman" w:cs="Times New Roman"/>
                <w:color w:val="000000" w:themeColor="text1"/>
                <w:sz w:val="24"/>
                <w:szCs w:val="24"/>
              </w:rPr>
              <w:t xml:space="preserve">Sở Văn hoá, Thể thao và Du lịch tỉnh Gia Lai thực hiện”. Vì sau sáp nhập, Sở Văn hoá, Thể thao và Du lịch tỉnh Gia Lai có 02 đơn vị trực thuộc là </w:t>
            </w:r>
            <w:r w:rsidR="00021573" w:rsidRPr="00A35B28">
              <w:rPr>
                <w:rFonts w:ascii="Times New Roman" w:hAnsi="Times New Roman" w:cs="Times New Roman"/>
                <w:color w:val="000000" w:themeColor="text1"/>
                <w:sz w:val="24"/>
                <w:szCs w:val="24"/>
              </w:rPr>
              <w:t>Nhà hát nghệ thuật truyền thống tỉnh Gia Lai và Nhà hát Ca múa nhạc tổng hợp Đam San đều có thể thực hiện các chương trình biểu diễn nghệ thuật truyền thống.</w:t>
            </w:r>
          </w:p>
        </w:tc>
      </w:tr>
      <w:tr w:rsidR="00CC7CFB" w:rsidRPr="00E61143" w:rsidTr="00A35B28">
        <w:tc>
          <w:tcPr>
            <w:tcW w:w="3828" w:type="dxa"/>
          </w:tcPr>
          <w:p w:rsidR="005B0415" w:rsidRPr="00A35B28" w:rsidRDefault="005B0415" w:rsidP="005B0415">
            <w:pPr>
              <w:spacing w:before="120" w:after="120" w:line="288" w:lineRule="auto"/>
              <w:jc w:val="both"/>
              <w:rPr>
                <w:rFonts w:ascii="Times New Roman" w:hAnsi="Times New Roman"/>
                <w:b/>
                <w:sz w:val="24"/>
                <w:szCs w:val="24"/>
              </w:rPr>
            </w:pPr>
            <w:r w:rsidRPr="00A35B28">
              <w:rPr>
                <w:rFonts w:ascii="Times New Roman" w:hAnsi="Times New Roman"/>
                <w:b/>
                <w:sz w:val="24"/>
                <w:szCs w:val="24"/>
              </w:rPr>
              <w:t xml:space="preserve">  5</w:t>
            </w:r>
            <w:r w:rsidRPr="00A35B28">
              <w:rPr>
                <w:rFonts w:ascii="Times New Roman" w:hAnsi="Times New Roman"/>
                <w:b/>
                <w:sz w:val="24"/>
                <w:szCs w:val="24"/>
                <w:lang w:val="vi-VN"/>
              </w:rPr>
              <w:t>. Nguồn kinh phí thực hiện</w:t>
            </w:r>
          </w:p>
          <w:p w:rsidR="005B0415" w:rsidRPr="00A35B28" w:rsidRDefault="005B0415" w:rsidP="005B0415">
            <w:pPr>
              <w:spacing w:before="120" w:after="120" w:line="288" w:lineRule="auto"/>
              <w:jc w:val="both"/>
              <w:rPr>
                <w:sz w:val="24"/>
                <w:szCs w:val="24"/>
              </w:rPr>
            </w:pPr>
            <w:r w:rsidRPr="00A35B28">
              <w:rPr>
                <w:rFonts w:ascii="Times New Roman" w:hAnsi="Times New Roman"/>
                <w:sz w:val="24"/>
                <w:szCs w:val="24"/>
              </w:rPr>
              <w:t xml:space="preserve">  T</w:t>
            </w:r>
            <w:r w:rsidRPr="00A35B28">
              <w:rPr>
                <w:rFonts w:ascii="Times New Roman" w:hAnsi="Times New Roman"/>
                <w:sz w:val="24"/>
                <w:szCs w:val="24"/>
                <w:lang w:val="vi-VN"/>
              </w:rPr>
              <w:t xml:space="preserve">ừ nguồn </w:t>
            </w:r>
            <w:r w:rsidRPr="00A35B28">
              <w:rPr>
                <w:rFonts w:ascii="Times New Roman" w:hAnsi="Times New Roman"/>
                <w:sz w:val="24"/>
                <w:szCs w:val="24"/>
              </w:rPr>
              <w:t>Ngân sách tỉnh</w:t>
            </w:r>
            <w:r w:rsidRPr="00A35B28">
              <w:rPr>
                <w:rFonts w:ascii="Times New Roman" w:hAnsi="Times New Roman"/>
                <w:sz w:val="24"/>
                <w:szCs w:val="24"/>
                <w:lang w:val="vi-VN"/>
              </w:rPr>
              <w:t xml:space="preserve"> và nguồn </w:t>
            </w:r>
            <w:r w:rsidRPr="00A35B28">
              <w:rPr>
                <w:rFonts w:ascii="Times New Roman" w:hAnsi="Times New Roman"/>
                <w:sz w:val="24"/>
                <w:szCs w:val="24"/>
                <w:lang w:val="vi-VN"/>
              </w:rPr>
              <w:lastRenderedPageBreak/>
              <w:t>vốn huy động hợp pháp khác theo quy định của pháp luật</w:t>
            </w:r>
            <w:r w:rsidRPr="00A35B28">
              <w:rPr>
                <w:rFonts w:ascii="Times New Roman" w:hAnsi="Times New Roman"/>
                <w:sz w:val="24"/>
                <w:szCs w:val="24"/>
              </w:rPr>
              <w:t>.</w:t>
            </w:r>
          </w:p>
          <w:p w:rsidR="00CC7CFB" w:rsidRPr="00A35B28" w:rsidRDefault="00CC7CFB" w:rsidP="0098751F">
            <w:pPr>
              <w:pStyle w:val="NormalWeb"/>
              <w:shd w:val="clear" w:color="auto" w:fill="FFFFFF"/>
              <w:spacing w:before="120" w:beforeAutospacing="0" w:after="120" w:afterAutospacing="0" w:line="234" w:lineRule="atLeast"/>
              <w:jc w:val="both"/>
              <w:rPr>
                <w:color w:val="000000"/>
              </w:rPr>
            </w:pPr>
          </w:p>
        </w:tc>
        <w:tc>
          <w:tcPr>
            <w:tcW w:w="3544" w:type="dxa"/>
          </w:tcPr>
          <w:p w:rsidR="005B0415" w:rsidRPr="00A35B28" w:rsidRDefault="00A35B28" w:rsidP="005B0415">
            <w:pPr>
              <w:spacing w:before="120" w:after="120" w:line="288" w:lineRule="auto"/>
              <w:jc w:val="both"/>
              <w:rPr>
                <w:rFonts w:ascii="Times New Roman" w:hAnsi="Times New Roman"/>
                <w:b/>
                <w:sz w:val="24"/>
                <w:szCs w:val="24"/>
              </w:rPr>
            </w:pPr>
            <w:r w:rsidRPr="00A35B28">
              <w:rPr>
                <w:rFonts w:ascii="Times New Roman" w:hAnsi="Times New Roman"/>
                <w:b/>
                <w:sz w:val="24"/>
                <w:szCs w:val="24"/>
              </w:rPr>
              <w:lastRenderedPageBreak/>
              <w:t xml:space="preserve">Điều </w:t>
            </w:r>
            <w:r w:rsidR="005B0415" w:rsidRPr="00A35B28">
              <w:rPr>
                <w:rFonts w:ascii="Times New Roman" w:hAnsi="Times New Roman"/>
                <w:b/>
                <w:sz w:val="24"/>
                <w:szCs w:val="24"/>
              </w:rPr>
              <w:t>5</w:t>
            </w:r>
            <w:r w:rsidR="005B0415" w:rsidRPr="00A35B28">
              <w:rPr>
                <w:rFonts w:ascii="Times New Roman" w:hAnsi="Times New Roman"/>
                <w:b/>
                <w:sz w:val="24"/>
                <w:szCs w:val="24"/>
                <w:lang w:val="vi-VN"/>
              </w:rPr>
              <w:t>. Nguồn kinh phí thực hiện</w:t>
            </w:r>
          </w:p>
          <w:p w:rsidR="00CC7CFB" w:rsidRPr="00A35B28" w:rsidRDefault="005B0415" w:rsidP="005B0415">
            <w:pPr>
              <w:spacing w:before="120" w:after="120" w:line="288" w:lineRule="auto"/>
              <w:jc w:val="both"/>
              <w:rPr>
                <w:sz w:val="24"/>
                <w:szCs w:val="24"/>
              </w:rPr>
            </w:pPr>
            <w:r w:rsidRPr="00A35B28">
              <w:rPr>
                <w:rFonts w:ascii="Times New Roman" w:hAnsi="Times New Roman"/>
                <w:sz w:val="24"/>
                <w:szCs w:val="24"/>
              </w:rPr>
              <w:lastRenderedPageBreak/>
              <w:t xml:space="preserve">  T</w:t>
            </w:r>
            <w:r w:rsidRPr="00A35B28">
              <w:rPr>
                <w:rFonts w:ascii="Times New Roman" w:hAnsi="Times New Roman"/>
                <w:sz w:val="24"/>
                <w:szCs w:val="24"/>
                <w:lang w:val="vi-VN"/>
              </w:rPr>
              <w:t xml:space="preserve">ừ nguồn </w:t>
            </w:r>
            <w:r w:rsidRPr="00A35B28">
              <w:rPr>
                <w:rFonts w:ascii="Times New Roman" w:hAnsi="Times New Roman"/>
                <w:sz w:val="24"/>
                <w:szCs w:val="24"/>
              </w:rPr>
              <w:t>Ngân sách tỉnh</w:t>
            </w:r>
            <w:r w:rsidRPr="00A35B28">
              <w:rPr>
                <w:rFonts w:ascii="Times New Roman" w:hAnsi="Times New Roman"/>
                <w:sz w:val="24"/>
                <w:szCs w:val="24"/>
                <w:lang w:val="vi-VN"/>
              </w:rPr>
              <w:t xml:space="preserve"> và nguồn vốn huy động hợp pháp khác theo quy định của pháp luật</w:t>
            </w:r>
            <w:r w:rsidRPr="00A35B28">
              <w:rPr>
                <w:rFonts w:ascii="Times New Roman" w:hAnsi="Times New Roman"/>
                <w:sz w:val="24"/>
                <w:szCs w:val="24"/>
              </w:rPr>
              <w:t>.</w:t>
            </w:r>
          </w:p>
        </w:tc>
        <w:tc>
          <w:tcPr>
            <w:tcW w:w="3118" w:type="dxa"/>
          </w:tcPr>
          <w:p w:rsidR="00CC7CFB" w:rsidRPr="00A35B28" w:rsidRDefault="005B0415" w:rsidP="00E02CA4">
            <w:pPr>
              <w:widowControl w:val="0"/>
              <w:tabs>
                <w:tab w:val="left" w:pos="720"/>
              </w:tabs>
              <w:spacing w:before="120"/>
              <w:jc w:val="both"/>
              <w:rPr>
                <w:rFonts w:ascii="Times New Roman" w:eastAsia="Times New Roman" w:hAnsi="Times New Roman" w:cs="Times New Roman"/>
                <w:color w:val="000000" w:themeColor="text1"/>
                <w:sz w:val="24"/>
                <w:szCs w:val="24"/>
                <w:lang w:eastAsia="vi-VN"/>
              </w:rPr>
            </w:pPr>
            <w:r w:rsidRPr="00A35B28">
              <w:rPr>
                <w:rFonts w:ascii="Times New Roman" w:hAnsi="Times New Roman" w:cs="Times New Roman"/>
                <w:color w:val="000000" w:themeColor="text1"/>
                <w:sz w:val="24"/>
                <w:szCs w:val="24"/>
              </w:rPr>
              <w:lastRenderedPageBreak/>
              <w:t xml:space="preserve">Kế thừa Nghị quyết số 15/2024/NQ-HĐND ngày 12/7/2024 của HĐND tỉnh </w:t>
            </w:r>
            <w:r w:rsidRPr="00A35B28">
              <w:rPr>
                <w:rFonts w:ascii="Times New Roman" w:hAnsi="Times New Roman" w:cs="Times New Roman"/>
                <w:color w:val="000000" w:themeColor="text1"/>
                <w:sz w:val="24"/>
                <w:szCs w:val="24"/>
              </w:rPr>
              <w:lastRenderedPageBreak/>
              <w:t>Bình Định; không thay đổi.</w:t>
            </w:r>
          </w:p>
        </w:tc>
      </w:tr>
      <w:tr w:rsidR="00A35B28" w:rsidRPr="00E61143" w:rsidTr="00A35B28">
        <w:tc>
          <w:tcPr>
            <w:tcW w:w="3828" w:type="dxa"/>
          </w:tcPr>
          <w:p w:rsidR="00A35B28" w:rsidRPr="00A35B28" w:rsidRDefault="00A35B28" w:rsidP="00A35B28">
            <w:pPr>
              <w:spacing w:before="120" w:after="120" w:line="288" w:lineRule="auto"/>
              <w:jc w:val="both"/>
              <w:rPr>
                <w:rFonts w:ascii="Times New Roman" w:hAnsi="Times New Roman"/>
                <w:sz w:val="24"/>
                <w:szCs w:val="24"/>
              </w:rPr>
            </w:pPr>
            <w:r w:rsidRPr="00A35B28">
              <w:rPr>
                <w:rFonts w:ascii="Times New Roman" w:hAnsi="Times New Roman"/>
                <w:b/>
                <w:sz w:val="24"/>
                <w:szCs w:val="24"/>
              </w:rPr>
              <w:lastRenderedPageBreak/>
              <w:t xml:space="preserve">Điều 2. </w:t>
            </w:r>
            <w:r w:rsidRPr="00A35B28">
              <w:rPr>
                <w:rFonts w:ascii="Times New Roman" w:hAnsi="Times New Roman"/>
                <w:sz w:val="24"/>
                <w:szCs w:val="24"/>
              </w:rPr>
              <w:t>Ủy ban nhân dân tỉnh có trách nhiệm tổ chức triển khai thực hiện Nghị quyết.</w:t>
            </w:r>
          </w:p>
          <w:p w:rsidR="00A35B28" w:rsidRPr="00A35B28" w:rsidRDefault="00A35B28" w:rsidP="00A35B28">
            <w:pPr>
              <w:spacing w:before="120" w:after="120" w:line="288" w:lineRule="auto"/>
              <w:jc w:val="both"/>
              <w:rPr>
                <w:rFonts w:ascii="Times New Roman" w:hAnsi="Times New Roman"/>
                <w:sz w:val="24"/>
                <w:szCs w:val="24"/>
              </w:rPr>
            </w:pPr>
            <w:r w:rsidRPr="00A35B28">
              <w:rPr>
                <w:rFonts w:ascii="Times New Roman" w:hAnsi="Times New Roman"/>
                <w:b/>
                <w:sz w:val="24"/>
                <w:szCs w:val="24"/>
              </w:rPr>
              <w:t>Điều 3.</w:t>
            </w:r>
            <w:r w:rsidRPr="00A35B28">
              <w:rPr>
                <w:rFonts w:ascii="Times New Roman" w:hAnsi="Times New Roman"/>
                <w:sz w:val="24"/>
                <w:szCs w:val="24"/>
              </w:rPr>
              <w:t xml:space="preserve"> Thường trực Hội đồng nhân dân tỉnh, các Ban của Hội đồng nhân dân tỉnh, Tổ đại biểu Hội đồng nhân dân tỉnh và đại biểu Hội đồng nhân dân tỉnh kiểm tra, giám sát việc thực hiện Nghị quyết.</w:t>
            </w:r>
          </w:p>
          <w:p w:rsidR="00A35B28" w:rsidRPr="00A35B28" w:rsidRDefault="00A35B28" w:rsidP="00A35B28">
            <w:pPr>
              <w:spacing w:before="120" w:after="120" w:line="288" w:lineRule="auto"/>
              <w:jc w:val="both"/>
              <w:rPr>
                <w:rFonts w:ascii="Times New Roman" w:hAnsi="Times New Roman"/>
                <w:sz w:val="24"/>
                <w:szCs w:val="24"/>
              </w:rPr>
            </w:pPr>
            <w:r w:rsidRPr="00A35B28">
              <w:rPr>
                <w:rFonts w:ascii="Times New Roman" w:hAnsi="Times New Roman"/>
                <w:sz w:val="24"/>
                <w:szCs w:val="24"/>
              </w:rPr>
              <w:t xml:space="preserve">  </w:t>
            </w:r>
            <w:r w:rsidRPr="00A35B28">
              <w:rPr>
                <w:rFonts w:ascii="Times New Roman" w:hAnsi="Times New Roman"/>
                <w:sz w:val="24"/>
                <w:szCs w:val="24"/>
              </w:rPr>
              <w:t xml:space="preserve">Nghị quyết này đã được Hội đồng nhân dân tỉnh Bình Định Khóa XIII, Kỳ họp thứ </w:t>
            </w:r>
            <w:r w:rsidRPr="00A35B28">
              <w:rPr>
                <w:rFonts w:ascii="Times New Roman" w:hAnsi="Times New Roman"/>
                <w:sz w:val="24"/>
                <w:szCs w:val="24"/>
              </w:rPr>
              <w:t>17</w:t>
            </w:r>
            <w:r w:rsidRPr="00A35B28">
              <w:rPr>
                <w:rFonts w:ascii="Times New Roman" w:hAnsi="Times New Roman"/>
                <w:sz w:val="24"/>
                <w:szCs w:val="24"/>
              </w:rPr>
              <w:t xml:space="preserve"> thông qua ngày </w:t>
            </w:r>
            <w:r w:rsidRPr="00A35B28">
              <w:rPr>
                <w:rFonts w:ascii="Times New Roman" w:hAnsi="Times New Roman"/>
                <w:sz w:val="24"/>
                <w:szCs w:val="24"/>
              </w:rPr>
              <w:t>12</w:t>
            </w:r>
            <w:r w:rsidRPr="00A35B28">
              <w:rPr>
                <w:rFonts w:ascii="Times New Roman" w:hAnsi="Times New Roman"/>
                <w:sz w:val="24"/>
                <w:szCs w:val="24"/>
              </w:rPr>
              <w:t xml:space="preserve"> tháng</w:t>
            </w:r>
            <w:r w:rsidRPr="00A35B28">
              <w:rPr>
                <w:rFonts w:ascii="Times New Roman" w:hAnsi="Times New Roman"/>
                <w:sz w:val="24"/>
                <w:szCs w:val="24"/>
              </w:rPr>
              <w:t xml:space="preserve"> 7</w:t>
            </w:r>
            <w:r w:rsidRPr="00A35B28">
              <w:rPr>
                <w:rFonts w:ascii="Times New Roman" w:hAnsi="Times New Roman"/>
                <w:sz w:val="24"/>
                <w:szCs w:val="24"/>
              </w:rPr>
              <w:t xml:space="preserve"> năm 202</w:t>
            </w:r>
            <w:r w:rsidRPr="00A35B28">
              <w:rPr>
                <w:rFonts w:ascii="Times New Roman" w:hAnsi="Times New Roman"/>
                <w:sz w:val="24"/>
                <w:szCs w:val="24"/>
              </w:rPr>
              <w:t>4</w:t>
            </w:r>
            <w:r w:rsidRPr="00A35B28">
              <w:rPr>
                <w:rFonts w:ascii="Times New Roman" w:hAnsi="Times New Roman"/>
                <w:sz w:val="24"/>
                <w:szCs w:val="24"/>
              </w:rPr>
              <w:t xml:space="preserve"> và có hiệu lực từ ngày </w:t>
            </w:r>
            <w:r w:rsidRPr="00A35B28">
              <w:rPr>
                <w:rFonts w:ascii="Times New Roman" w:hAnsi="Times New Roman"/>
                <w:sz w:val="24"/>
                <w:szCs w:val="24"/>
              </w:rPr>
              <w:t>22</w:t>
            </w:r>
            <w:r w:rsidRPr="00A35B28">
              <w:rPr>
                <w:rFonts w:ascii="Times New Roman" w:hAnsi="Times New Roman"/>
                <w:sz w:val="24"/>
                <w:szCs w:val="24"/>
              </w:rPr>
              <w:t xml:space="preserve"> tháng</w:t>
            </w:r>
            <w:r w:rsidRPr="00A35B28">
              <w:rPr>
                <w:rFonts w:ascii="Times New Roman" w:hAnsi="Times New Roman"/>
                <w:sz w:val="24"/>
                <w:szCs w:val="24"/>
              </w:rPr>
              <w:t xml:space="preserve"> 7 </w:t>
            </w:r>
            <w:r w:rsidRPr="00A35B28">
              <w:rPr>
                <w:rFonts w:ascii="Times New Roman" w:hAnsi="Times New Roman"/>
                <w:sz w:val="24"/>
                <w:szCs w:val="24"/>
              </w:rPr>
              <w:t>năm</w:t>
            </w:r>
            <w:r w:rsidRPr="00A35B28">
              <w:rPr>
                <w:rFonts w:ascii="Times New Roman" w:hAnsi="Times New Roman"/>
                <w:sz w:val="24"/>
                <w:szCs w:val="24"/>
              </w:rPr>
              <w:t xml:space="preserve"> 2024.</w:t>
            </w:r>
          </w:p>
          <w:p w:rsidR="00A35B28" w:rsidRPr="00A35B28" w:rsidRDefault="00A35B28" w:rsidP="005B0415">
            <w:pPr>
              <w:spacing w:before="120" w:after="120" w:line="288" w:lineRule="auto"/>
              <w:jc w:val="both"/>
              <w:rPr>
                <w:rFonts w:ascii="Times New Roman" w:hAnsi="Times New Roman"/>
                <w:b/>
                <w:sz w:val="24"/>
                <w:szCs w:val="24"/>
              </w:rPr>
            </w:pPr>
          </w:p>
        </w:tc>
        <w:tc>
          <w:tcPr>
            <w:tcW w:w="3544" w:type="dxa"/>
          </w:tcPr>
          <w:p w:rsidR="00A35B28" w:rsidRPr="00A35B28" w:rsidRDefault="00A35B28" w:rsidP="00A35B28">
            <w:pPr>
              <w:spacing w:before="120" w:after="120" w:line="288" w:lineRule="auto"/>
              <w:jc w:val="both"/>
              <w:rPr>
                <w:rFonts w:ascii="Times New Roman" w:hAnsi="Times New Roman"/>
                <w:b/>
                <w:sz w:val="24"/>
                <w:szCs w:val="24"/>
              </w:rPr>
            </w:pPr>
            <w:r w:rsidRPr="00A35B28">
              <w:rPr>
                <w:rFonts w:ascii="Times New Roman" w:hAnsi="Times New Roman"/>
                <w:b/>
                <w:sz w:val="24"/>
                <w:szCs w:val="24"/>
              </w:rPr>
              <w:t>Điều 6. Điều khoản thi hành</w:t>
            </w:r>
          </w:p>
          <w:p w:rsidR="00A35B28" w:rsidRPr="00A35B28" w:rsidRDefault="00A35B28" w:rsidP="00A35B28">
            <w:pPr>
              <w:spacing w:before="120" w:after="120" w:line="288" w:lineRule="auto"/>
              <w:jc w:val="both"/>
              <w:rPr>
                <w:rFonts w:ascii="Times New Roman" w:hAnsi="Times New Roman"/>
                <w:sz w:val="24"/>
                <w:szCs w:val="24"/>
              </w:rPr>
            </w:pPr>
            <w:r w:rsidRPr="00A35B28">
              <w:rPr>
                <w:rFonts w:ascii="Times New Roman" w:hAnsi="Times New Roman"/>
                <w:sz w:val="24"/>
                <w:szCs w:val="24"/>
              </w:rPr>
              <w:t>1. Nghị quyết này có hiệu lực thi hành kể từ ngày … tháng … năm 2026 và thay thế</w:t>
            </w:r>
            <w:r w:rsidRPr="00A35B28">
              <w:rPr>
                <w:sz w:val="24"/>
                <w:szCs w:val="24"/>
              </w:rPr>
              <w:t xml:space="preserve"> </w:t>
            </w:r>
            <w:r w:rsidRPr="00A35B28">
              <w:rPr>
                <w:rFonts w:ascii="Times New Roman" w:hAnsi="Times New Roman"/>
                <w:sz w:val="24"/>
                <w:szCs w:val="24"/>
              </w:rPr>
              <w:t>Nghị quyết số 15/2024/NQ-HĐND ngày 12/7/2024 của HĐND tỉnh Bình Định Quy định Chính sách hỗ trợ thu hút đoàn khách đến tỉnh Bình Định dự hội nghị, hội thảo.</w:t>
            </w:r>
          </w:p>
          <w:p w:rsidR="00A35B28" w:rsidRPr="00A35B28" w:rsidRDefault="00A35B28" w:rsidP="00A35B28">
            <w:pPr>
              <w:spacing w:before="120" w:after="120" w:line="288" w:lineRule="auto"/>
              <w:jc w:val="both"/>
              <w:rPr>
                <w:rFonts w:ascii="Times New Roman" w:hAnsi="Times New Roman"/>
                <w:sz w:val="24"/>
                <w:szCs w:val="24"/>
              </w:rPr>
            </w:pPr>
            <w:r w:rsidRPr="00A35B28">
              <w:rPr>
                <w:rFonts w:ascii="Times New Roman" w:hAnsi="Times New Roman"/>
                <w:sz w:val="24"/>
                <w:szCs w:val="24"/>
              </w:rPr>
              <w:t>2. Ủy ban nhân dân tỉnh có trách nhiệm tổ chức triển khai thực hiện Nghị quyết.</w:t>
            </w:r>
          </w:p>
          <w:p w:rsidR="00A35B28" w:rsidRPr="00A35B28" w:rsidRDefault="00A35B28" w:rsidP="00A35B28">
            <w:pPr>
              <w:spacing w:before="120" w:after="120" w:line="288" w:lineRule="auto"/>
              <w:jc w:val="both"/>
              <w:rPr>
                <w:rFonts w:ascii="Times New Roman" w:hAnsi="Times New Roman"/>
                <w:sz w:val="24"/>
                <w:szCs w:val="24"/>
              </w:rPr>
            </w:pPr>
            <w:r w:rsidRPr="00A35B28">
              <w:rPr>
                <w:rFonts w:ascii="Times New Roman" w:hAnsi="Times New Roman"/>
                <w:sz w:val="24"/>
                <w:szCs w:val="24"/>
              </w:rPr>
              <w:t>3. Thường trực Hội đồng nhân dân tỉnh, các Ban của Hội đồng nhân dân tỉnh, Tổ đại biểu Hội đồng nhân dân tỉnh và đại biểu Hội đồng nhân dân tỉnh kiểm tra, giám sát việc thực hiện Nghị quyết.</w:t>
            </w:r>
            <w:bookmarkStart w:id="2" w:name="_GoBack"/>
            <w:bookmarkEnd w:id="2"/>
          </w:p>
          <w:p w:rsidR="00A35B28" w:rsidRPr="00A35B28" w:rsidRDefault="00A35B28" w:rsidP="00A35B28">
            <w:pPr>
              <w:spacing w:before="120" w:after="120" w:line="288" w:lineRule="auto"/>
              <w:jc w:val="both"/>
              <w:rPr>
                <w:rFonts w:ascii="Times New Roman" w:hAnsi="Times New Roman"/>
                <w:i/>
                <w:sz w:val="24"/>
                <w:szCs w:val="24"/>
              </w:rPr>
            </w:pPr>
            <w:r w:rsidRPr="00A35B28">
              <w:rPr>
                <w:rFonts w:ascii="Times New Roman" w:hAnsi="Times New Roman"/>
                <w:i/>
                <w:sz w:val="24"/>
                <w:szCs w:val="24"/>
              </w:rPr>
              <w:t xml:space="preserve"> </w:t>
            </w:r>
            <w:r w:rsidRPr="00A35B28">
              <w:rPr>
                <w:rFonts w:ascii="Times New Roman" w:hAnsi="Times New Roman"/>
                <w:i/>
                <w:sz w:val="24"/>
                <w:szCs w:val="24"/>
              </w:rPr>
              <w:t>Nghị quyết này đã được Hội đồng nhân dân tỉnh Gia Lai Khóa …., Kỳ họp thứ …. thông qua ngày …. tháng …. năm 2026./.</w:t>
            </w:r>
          </w:p>
          <w:p w:rsidR="00A35B28" w:rsidRPr="00A35B28" w:rsidRDefault="00A35B28" w:rsidP="005B0415">
            <w:pPr>
              <w:spacing w:before="120" w:after="120" w:line="288" w:lineRule="auto"/>
              <w:jc w:val="both"/>
              <w:rPr>
                <w:rFonts w:ascii="Times New Roman" w:hAnsi="Times New Roman"/>
                <w:b/>
                <w:sz w:val="24"/>
                <w:szCs w:val="24"/>
              </w:rPr>
            </w:pPr>
          </w:p>
        </w:tc>
        <w:tc>
          <w:tcPr>
            <w:tcW w:w="3118" w:type="dxa"/>
          </w:tcPr>
          <w:p w:rsidR="00A35B28" w:rsidRPr="00A35B28" w:rsidRDefault="00A35B28" w:rsidP="00E02CA4">
            <w:pPr>
              <w:widowControl w:val="0"/>
              <w:tabs>
                <w:tab w:val="left" w:pos="720"/>
              </w:tabs>
              <w:spacing w:before="120"/>
              <w:jc w:val="both"/>
              <w:rPr>
                <w:rFonts w:ascii="Times New Roman" w:hAnsi="Times New Roman" w:cs="Times New Roman"/>
                <w:color w:val="000000" w:themeColor="text1"/>
                <w:sz w:val="24"/>
                <w:szCs w:val="24"/>
              </w:rPr>
            </w:pPr>
            <w:r w:rsidRPr="00A35B28">
              <w:rPr>
                <w:rFonts w:ascii="Times New Roman" w:hAnsi="Times New Roman" w:cs="Times New Roman"/>
                <w:color w:val="000000" w:themeColor="text1"/>
                <w:sz w:val="24"/>
                <w:szCs w:val="24"/>
              </w:rPr>
              <w:t>Kế thừa Nghị quyết số 15/2024/NQ-HĐND ngày 12/7/2024 của HĐND tỉnh Bình Định; chỉ thay đổi số thứ tự của Điều.</w:t>
            </w:r>
          </w:p>
        </w:tc>
      </w:tr>
    </w:tbl>
    <w:p w:rsidR="00DB2E1B" w:rsidRPr="00E61143" w:rsidRDefault="00DB2E1B" w:rsidP="00DB2E1B">
      <w:pPr>
        <w:tabs>
          <w:tab w:val="left" w:pos="720"/>
        </w:tabs>
        <w:spacing w:after="0" w:line="240" w:lineRule="auto"/>
        <w:jc w:val="both"/>
        <w:rPr>
          <w:rFonts w:ascii="Times New Roman" w:hAnsi="Times New Roman" w:cs="Times New Roman"/>
          <w:color w:val="000000" w:themeColor="text1"/>
          <w:sz w:val="28"/>
          <w:szCs w:val="28"/>
          <w:lang w:val="nl-NL" w:eastAsia="zh-CN"/>
        </w:rPr>
      </w:pPr>
    </w:p>
    <w:sectPr w:rsidR="00DB2E1B" w:rsidRPr="00E61143" w:rsidSect="00514A8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037"/>
    <w:rsid w:val="00020066"/>
    <w:rsid w:val="00021573"/>
    <w:rsid w:val="000217B5"/>
    <w:rsid w:val="000562B8"/>
    <w:rsid w:val="00095060"/>
    <w:rsid w:val="000E02FD"/>
    <w:rsid w:val="001747F2"/>
    <w:rsid w:val="001B3BD0"/>
    <w:rsid w:val="00230C30"/>
    <w:rsid w:val="002A2585"/>
    <w:rsid w:val="00457868"/>
    <w:rsid w:val="00476CEF"/>
    <w:rsid w:val="00514A88"/>
    <w:rsid w:val="00575E69"/>
    <w:rsid w:val="005B0415"/>
    <w:rsid w:val="00631B43"/>
    <w:rsid w:val="007069AE"/>
    <w:rsid w:val="00787EA7"/>
    <w:rsid w:val="007D752D"/>
    <w:rsid w:val="0091207D"/>
    <w:rsid w:val="00913923"/>
    <w:rsid w:val="0098751F"/>
    <w:rsid w:val="00A35B28"/>
    <w:rsid w:val="00A70619"/>
    <w:rsid w:val="00B437D2"/>
    <w:rsid w:val="00C71C03"/>
    <w:rsid w:val="00C83666"/>
    <w:rsid w:val="00CC7CFB"/>
    <w:rsid w:val="00DB2E1B"/>
    <w:rsid w:val="00E02037"/>
    <w:rsid w:val="00E02CA4"/>
    <w:rsid w:val="00E61143"/>
    <w:rsid w:val="00E7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AB1B"/>
  <w15:docId w15:val="{8D23C181-B733-4698-BCE8-A914D33F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415"/>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7C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5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4589">
      <w:bodyDiv w:val="1"/>
      <w:marLeft w:val="0"/>
      <w:marRight w:val="0"/>
      <w:marTop w:val="0"/>
      <w:marBottom w:val="0"/>
      <w:divBdr>
        <w:top w:val="none" w:sz="0" w:space="0" w:color="auto"/>
        <w:left w:val="none" w:sz="0" w:space="0" w:color="auto"/>
        <w:bottom w:val="none" w:sz="0" w:space="0" w:color="auto"/>
        <w:right w:val="none" w:sz="0" w:space="0" w:color="auto"/>
      </w:divBdr>
    </w:div>
    <w:div w:id="458033279">
      <w:bodyDiv w:val="1"/>
      <w:marLeft w:val="0"/>
      <w:marRight w:val="0"/>
      <w:marTop w:val="0"/>
      <w:marBottom w:val="0"/>
      <w:divBdr>
        <w:top w:val="none" w:sz="0" w:space="0" w:color="auto"/>
        <w:left w:val="none" w:sz="0" w:space="0" w:color="auto"/>
        <w:bottom w:val="none" w:sz="0" w:space="0" w:color="auto"/>
        <w:right w:val="none" w:sz="0" w:space="0" w:color="auto"/>
      </w:divBdr>
    </w:div>
    <w:div w:id="1012344746">
      <w:bodyDiv w:val="1"/>
      <w:marLeft w:val="0"/>
      <w:marRight w:val="0"/>
      <w:marTop w:val="0"/>
      <w:marBottom w:val="0"/>
      <w:divBdr>
        <w:top w:val="none" w:sz="0" w:space="0" w:color="auto"/>
        <w:left w:val="none" w:sz="0" w:space="0" w:color="auto"/>
        <w:bottom w:val="none" w:sz="0" w:space="0" w:color="auto"/>
        <w:right w:val="none" w:sz="0" w:space="0" w:color="auto"/>
      </w:divBdr>
    </w:div>
    <w:div w:id="1138038693">
      <w:bodyDiv w:val="1"/>
      <w:marLeft w:val="0"/>
      <w:marRight w:val="0"/>
      <w:marTop w:val="0"/>
      <w:marBottom w:val="0"/>
      <w:divBdr>
        <w:top w:val="none" w:sz="0" w:space="0" w:color="auto"/>
        <w:left w:val="none" w:sz="0" w:space="0" w:color="auto"/>
        <w:bottom w:val="none" w:sz="0" w:space="0" w:color="auto"/>
        <w:right w:val="none" w:sz="0" w:space="0" w:color="auto"/>
      </w:divBdr>
    </w:div>
    <w:div w:id="12084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17</cp:revision>
  <cp:lastPrinted>2026-04-02T08:33:00Z</cp:lastPrinted>
  <dcterms:created xsi:type="dcterms:W3CDTF">2026-03-31T02:14:00Z</dcterms:created>
  <dcterms:modified xsi:type="dcterms:W3CDTF">2026-04-10T09:13:00Z</dcterms:modified>
</cp:coreProperties>
</file>