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619" w:type="dxa"/>
        <w:tblLook w:val="01E0" w:firstRow="1" w:lastRow="1" w:firstColumn="1" w:lastColumn="1" w:noHBand="0" w:noVBand="0"/>
      </w:tblPr>
      <w:tblGrid>
        <w:gridCol w:w="5812"/>
        <w:gridCol w:w="10807"/>
      </w:tblGrid>
      <w:tr w:rsidR="00335FC4" w:rsidRPr="00335FC4" w14:paraId="1116AF50" w14:textId="77777777" w:rsidTr="00AC0490">
        <w:trPr>
          <w:trHeight w:val="1702"/>
        </w:trPr>
        <w:tc>
          <w:tcPr>
            <w:tcW w:w="5812" w:type="dxa"/>
          </w:tcPr>
          <w:p w14:paraId="6607CD60" w14:textId="1E595373" w:rsidR="00F55F33" w:rsidRPr="00335FC4" w:rsidRDefault="00F55F33" w:rsidP="00C040F5">
            <w:pPr>
              <w:jc w:val="center"/>
              <w:rPr>
                <w:sz w:val="26"/>
                <w:szCs w:val="26"/>
              </w:rPr>
            </w:pPr>
            <w:r w:rsidRPr="00335FC4">
              <w:rPr>
                <w:sz w:val="26"/>
                <w:szCs w:val="26"/>
              </w:rPr>
              <w:t xml:space="preserve">UBND TỈNH </w:t>
            </w:r>
            <w:r w:rsidR="00665532" w:rsidRPr="00335FC4">
              <w:rPr>
                <w:sz w:val="26"/>
                <w:szCs w:val="26"/>
              </w:rPr>
              <w:t>GIA LAI</w:t>
            </w:r>
          </w:p>
          <w:p w14:paraId="545EDAF4" w14:textId="77777777" w:rsidR="00F55F33" w:rsidRPr="00335FC4" w:rsidRDefault="00F55F33" w:rsidP="00C040F5">
            <w:pPr>
              <w:jc w:val="center"/>
              <w:rPr>
                <w:b/>
                <w:sz w:val="28"/>
                <w:szCs w:val="28"/>
              </w:rPr>
            </w:pPr>
            <w:r w:rsidRPr="00335FC4">
              <w:rPr>
                <w:b/>
                <w:sz w:val="28"/>
                <w:szCs w:val="28"/>
              </w:rPr>
              <w:t>SỞ NỘI VỤ</w:t>
            </w:r>
          </w:p>
          <w:p w14:paraId="56029EE0" w14:textId="77777777" w:rsidR="00F55F33" w:rsidRPr="00335FC4" w:rsidRDefault="00F55F33" w:rsidP="00C040F5">
            <w:pPr>
              <w:jc w:val="center"/>
              <w:rPr>
                <w:noProof/>
                <w:sz w:val="26"/>
                <w:szCs w:val="26"/>
              </w:rPr>
            </w:pPr>
          </w:p>
          <w:p w14:paraId="3D95E838" w14:textId="46AA4227" w:rsidR="00F55F33" w:rsidRPr="00335FC4" w:rsidRDefault="00C4611A" w:rsidP="008306ED">
            <w:pPr>
              <w:spacing w:after="120"/>
              <w:jc w:val="center"/>
              <w:rPr>
                <w:noProof/>
                <w:sz w:val="26"/>
                <w:szCs w:val="26"/>
              </w:rPr>
            </w:pPr>
            <w:r w:rsidRPr="00335FC4">
              <w:rPr>
                <w:noProof/>
                <w:sz w:val="26"/>
                <w:szCs w:val="26"/>
                <w:lang w:val="en-US" w:eastAsia="en-US"/>
              </w:rPr>
              <mc:AlternateContent>
                <mc:Choice Requires="wps">
                  <w:drawing>
                    <wp:anchor distT="0" distB="0" distL="114300" distR="114300" simplePos="0" relativeHeight="251657216" behindDoc="0" locked="0" layoutInCell="1" allowOverlap="1" wp14:anchorId="1C406BF1" wp14:editId="6E79B259">
                      <wp:simplePos x="0" y="0"/>
                      <wp:positionH relativeFrom="column">
                        <wp:align>center</wp:align>
                      </wp:positionH>
                      <wp:positionV relativeFrom="paragraph">
                        <wp:posOffset>-151130</wp:posOffset>
                      </wp:positionV>
                      <wp:extent cx="356400" cy="0"/>
                      <wp:effectExtent l="0" t="0" r="24765" b="19050"/>
                      <wp:wrapSquare wrapText="left"/>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2C736" id="Line 4"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9pt" to="28.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" strokeweight=".5pt">
                      <w10:wrap type="square" side="left"/>
                    </v:line>
                  </w:pict>
                </mc:Fallback>
              </mc:AlternateContent>
            </w:r>
          </w:p>
          <w:p w14:paraId="3565687E" w14:textId="270CD530" w:rsidR="00F55F33" w:rsidRPr="00335FC4" w:rsidRDefault="00F55F33" w:rsidP="00F826C4">
            <w:pPr>
              <w:jc w:val="center"/>
              <w:rPr>
                <w:noProof/>
              </w:rPr>
            </w:pPr>
          </w:p>
        </w:tc>
        <w:tc>
          <w:tcPr>
            <w:tcW w:w="10807" w:type="dxa"/>
          </w:tcPr>
          <w:p w14:paraId="0E6677ED" w14:textId="5490DC20" w:rsidR="00F55F33" w:rsidRPr="00335FC4" w:rsidRDefault="00F55F33" w:rsidP="00C040F5">
            <w:pPr>
              <w:jc w:val="center"/>
              <w:rPr>
                <w:b/>
                <w:sz w:val="26"/>
              </w:rPr>
            </w:pPr>
            <w:r w:rsidRPr="00335FC4">
              <w:rPr>
                <w:b/>
                <w:sz w:val="26"/>
              </w:rPr>
              <w:t>CỘNG H</w:t>
            </w:r>
            <w:r w:rsidR="008646E2" w:rsidRPr="00335FC4">
              <w:rPr>
                <w:b/>
                <w:sz w:val="26"/>
              </w:rPr>
              <w:t>ÒA</w:t>
            </w:r>
            <w:r w:rsidRPr="00335FC4">
              <w:rPr>
                <w:b/>
                <w:sz w:val="26"/>
              </w:rPr>
              <w:t xml:space="preserve"> XÃ HỘI CHỦ NGHĨA VIỆT </w:t>
            </w:r>
            <w:smartTag w:uri="urn:schemas-microsoft-com:office:smarttags" w:element="place">
              <w:smartTag w:uri="urn:schemas-microsoft-com:office:smarttags" w:element="country-region">
                <w:r w:rsidRPr="00335FC4">
                  <w:rPr>
                    <w:b/>
                    <w:sz w:val="26"/>
                  </w:rPr>
                  <w:t>NAM</w:t>
                </w:r>
              </w:smartTag>
            </w:smartTag>
          </w:p>
          <w:p w14:paraId="0C1383E3" w14:textId="77777777" w:rsidR="00F55F33" w:rsidRPr="00335FC4" w:rsidRDefault="00F55F33" w:rsidP="00C040F5">
            <w:pPr>
              <w:jc w:val="center"/>
              <w:rPr>
                <w:b/>
                <w:bCs/>
                <w:sz w:val="28"/>
                <w:szCs w:val="28"/>
              </w:rPr>
            </w:pPr>
            <w:r w:rsidRPr="00335FC4">
              <w:rPr>
                <w:b/>
                <w:bCs/>
                <w:sz w:val="28"/>
                <w:szCs w:val="28"/>
              </w:rPr>
              <w:t>Độc lập - Tự do - Hạnh phúc</w:t>
            </w:r>
          </w:p>
          <w:p w14:paraId="63B74533" w14:textId="77777777" w:rsidR="00F55F33" w:rsidRPr="00335FC4" w:rsidRDefault="00F55F33" w:rsidP="00C040F5">
            <w:pPr>
              <w:jc w:val="center"/>
              <w:rPr>
                <w:sz w:val="28"/>
                <w:szCs w:val="28"/>
              </w:rPr>
            </w:pPr>
          </w:p>
          <w:p w14:paraId="08E6960A" w14:textId="0B72C534" w:rsidR="00F55F33" w:rsidRPr="00335FC4" w:rsidRDefault="00C4611A" w:rsidP="00A32AA9">
            <w:pPr>
              <w:jc w:val="center"/>
              <w:rPr>
                <w:b/>
                <w:bCs/>
                <w:sz w:val="26"/>
                <w:szCs w:val="26"/>
                <w:vertAlign w:val="superscript"/>
              </w:rPr>
            </w:pPr>
            <w:r w:rsidRPr="00335FC4">
              <w:rPr>
                <w:noProof/>
                <w:sz w:val="26"/>
                <w:szCs w:val="26"/>
                <w:lang w:val="en-US" w:eastAsia="en-US"/>
              </w:rPr>
              <mc:AlternateContent>
                <mc:Choice Requires="wps">
                  <w:drawing>
                    <wp:anchor distT="0" distB="0" distL="114300" distR="114300" simplePos="0" relativeHeight="251658240" behindDoc="0" locked="0" layoutInCell="1" allowOverlap="1" wp14:anchorId="4DBBEA35" wp14:editId="3D14C00E">
                      <wp:simplePos x="0" y="0"/>
                      <wp:positionH relativeFrom="column">
                        <wp:align>center</wp:align>
                      </wp:positionH>
                      <wp:positionV relativeFrom="paragraph">
                        <wp:posOffset>-158750</wp:posOffset>
                      </wp:positionV>
                      <wp:extent cx="2142000" cy="0"/>
                      <wp:effectExtent l="0" t="0" r="10795" b="19050"/>
                      <wp:wrapSquare wrapText="left"/>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B156" id="Line 5"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2.5pt" to="168.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" strokeweight=".5pt">
                      <w10:wrap type="square" side="left"/>
                    </v:line>
                  </w:pict>
                </mc:Fallback>
              </mc:AlternateContent>
            </w:r>
            <w:r w:rsidR="00CF6C23" w:rsidRPr="00335FC4">
              <w:rPr>
                <w:i/>
                <w:sz w:val="26"/>
                <w:szCs w:val="26"/>
              </w:rPr>
              <w:t>Gia Lai</w:t>
            </w:r>
            <w:r w:rsidR="00F975BC" w:rsidRPr="00335FC4">
              <w:rPr>
                <w:i/>
                <w:sz w:val="26"/>
                <w:szCs w:val="26"/>
              </w:rPr>
              <w:t xml:space="preserve">, ngày </w:t>
            </w:r>
            <w:r w:rsidR="00E62ABB" w:rsidRPr="00335FC4">
              <w:rPr>
                <w:i/>
                <w:sz w:val="26"/>
                <w:szCs w:val="26"/>
              </w:rPr>
              <w:t xml:space="preserve">    </w:t>
            </w:r>
            <w:r w:rsidR="00F55F33" w:rsidRPr="00335FC4">
              <w:rPr>
                <w:i/>
                <w:sz w:val="26"/>
                <w:szCs w:val="26"/>
              </w:rPr>
              <w:t xml:space="preserve"> </w:t>
            </w:r>
            <w:r w:rsidR="00C72B19" w:rsidRPr="00335FC4">
              <w:rPr>
                <w:i/>
                <w:sz w:val="26"/>
                <w:szCs w:val="26"/>
              </w:rPr>
              <w:t xml:space="preserve">tháng </w:t>
            </w:r>
            <w:r w:rsidR="00EC4B1A" w:rsidRPr="00335FC4">
              <w:rPr>
                <w:i/>
                <w:sz w:val="26"/>
                <w:szCs w:val="26"/>
              </w:rPr>
              <w:t xml:space="preserve">    </w:t>
            </w:r>
            <w:r w:rsidR="00F55F33" w:rsidRPr="00335FC4">
              <w:rPr>
                <w:i/>
                <w:sz w:val="26"/>
                <w:szCs w:val="26"/>
              </w:rPr>
              <w:t xml:space="preserve"> năm 20</w:t>
            </w:r>
            <w:r w:rsidR="00D80FF0" w:rsidRPr="00335FC4">
              <w:rPr>
                <w:i/>
                <w:sz w:val="26"/>
                <w:szCs w:val="26"/>
              </w:rPr>
              <w:t>2</w:t>
            </w:r>
            <w:r w:rsidR="003A19EE" w:rsidRPr="00335FC4">
              <w:rPr>
                <w:i/>
                <w:sz w:val="26"/>
                <w:szCs w:val="26"/>
              </w:rPr>
              <w:t>6</w:t>
            </w:r>
          </w:p>
        </w:tc>
      </w:tr>
    </w:tbl>
    <w:p w14:paraId="181C5D60" w14:textId="013BCC30" w:rsidR="00B57035" w:rsidRPr="00335FC4" w:rsidRDefault="00B57035" w:rsidP="003A19EE">
      <w:pPr>
        <w:spacing w:before="20" w:after="20"/>
        <w:jc w:val="center"/>
        <w:rPr>
          <w:rFonts w:eastAsia="Calibri"/>
          <w:b/>
          <w:sz w:val="26"/>
          <w:szCs w:val="26"/>
          <w:lang w:val="en-US" w:eastAsia="en-US"/>
        </w:rPr>
      </w:pPr>
      <w:r w:rsidRPr="00335FC4">
        <w:rPr>
          <w:rFonts w:eastAsia="Calibri"/>
          <w:b/>
          <w:sz w:val="26"/>
          <w:szCs w:val="26"/>
          <w:lang w:val="en-US" w:eastAsia="en-US"/>
        </w:rPr>
        <w:t>BẢN SO SÁNH</w:t>
      </w:r>
      <w:r w:rsidR="00AC570D" w:rsidRPr="00335FC4">
        <w:rPr>
          <w:rFonts w:eastAsia="Calibri"/>
          <w:b/>
          <w:sz w:val="26"/>
          <w:szCs w:val="26"/>
          <w:lang w:val="en-US" w:eastAsia="en-US"/>
        </w:rPr>
        <w:t>, THUYẾT MINH</w:t>
      </w:r>
      <w:r w:rsidR="003F5677" w:rsidRPr="00335FC4">
        <w:rPr>
          <w:rFonts w:eastAsia="Calibri"/>
          <w:b/>
          <w:sz w:val="26"/>
          <w:szCs w:val="26"/>
          <w:lang w:val="en-US" w:eastAsia="en-US"/>
        </w:rPr>
        <w:t xml:space="preserve"> </w:t>
      </w:r>
      <w:r w:rsidRPr="00335FC4">
        <w:rPr>
          <w:rFonts w:eastAsia="Calibri"/>
          <w:b/>
          <w:sz w:val="26"/>
          <w:szCs w:val="26"/>
          <w:lang w:val="en-US" w:eastAsia="en-US"/>
        </w:rPr>
        <w:t xml:space="preserve">NỘI DUNG DỰ THẢO </w:t>
      </w:r>
      <w:r w:rsidRPr="00335FC4">
        <w:rPr>
          <w:rFonts w:eastAsia="Calibri"/>
          <w:b/>
          <w:spacing w:val="-4"/>
          <w:sz w:val="26"/>
          <w:szCs w:val="26"/>
          <w:lang w:val="en-US" w:eastAsia="en-US"/>
        </w:rPr>
        <w:t xml:space="preserve">NGHỊ QUYẾT </w:t>
      </w:r>
      <w:bookmarkStart w:id="0" w:name="loai_1_name"/>
      <w:r w:rsidRPr="00335FC4">
        <w:rPr>
          <w:rFonts w:eastAsia="Calibri"/>
          <w:b/>
          <w:spacing w:val="-4"/>
          <w:sz w:val="26"/>
          <w:szCs w:val="26"/>
          <w:lang w:val="vi-VN" w:eastAsia="en-US"/>
        </w:rPr>
        <w:t xml:space="preserve">BAN HÀNH QUY ĐỊNH CHÍNH SÁCH </w:t>
      </w:r>
      <w:r w:rsidR="00D817CD">
        <w:rPr>
          <w:b/>
          <w:bCs/>
          <w:sz w:val="28"/>
          <w:szCs w:val="28"/>
        </w:rPr>
        <w:t>KHUYẾN KHÍCH</w:t>
      </w:r>
      <w:r w:rsidR="003A19EE" w:rsidRPr="00335FC4">
        <w:rPr>
          <w:b/>
          <w:bCs/>
          <w:sz w:val="28"/>
          <w:szCs w:val="28"/>
        </w:rPr>
        <w:t xml:space="preserve"> CÁN BỘ, CÔNG CHỨC, VIÊN CHỨC ĐI ĐÀO TẠO</w:t>
      </w:r>
      <w:r w:rsidR="00D01DDF">
        <w:rPr>
          <w:b/>
          <w:bCs/>
          <w:sz w:val="28"/>
          <w:szCs w:val="28"/>
        </w:rPr>
        <w:t>, BỒI DƯỠNG</w:t>
      </w:r>
      <w:r w:rsidRPr="00335FC4">
        <w:rPr>
          <w:rFonts w:eastAsia="Calibri"/>
          <w:b/>
          <w:spacing w:val="-4"/>
          <w:sz w:val="30"/>
          <w:szCs w:val="30"/>
          <w:lang w:val="vi-VN" w:eastAsia="en-US"/>
        </w:rPr>
        <w:t xml:space="preserve"> </w:t>
      </w:r>
      <w:bookmarkEnd w:id="0"/>
      <w:r w:rsidRPr="00335FC4">
        <w:rPr>
          <w:rFonts w:eastAsia="Calibri"/>
          <w:b/>
          <w:sz w:val="26"/>
          <w:szCs w:val="26"/>
          <w:lang w:val="en-US" w:eastAsia="en-US"/>
        </w:rPr>
        <w:t>VỚI QUY ĐỊNH HIỆN HÀNH</w:t>
      </w:r>
    </w:p>
    <w:p w14:paraId="37BDE3D0" w14:textId="77777777" w:rsidR="00CD3473" w:rsidRPr="00335FC4" w:rsidRDefault="00CD3473" w:rsidP="00CD3473">
      <w:pPr>
        <w:spacing w:before="20" w:after="20"/>
        <w:rPr>
          <w:rFonts w:eastAsia="Calibri"/>
          <w:b/>
          <w:sz w:val="26"/>
          <w:szCs w:val="26"/>
          <w:lang w:val="en-US" w:eastAsia="en-US"/>
        </w:rPr>
      </w:pPr>
    </w:p>
    <w:tbl>
      <w:tblPr>
        <w:tblStyle w:val="TableGrid"/>
        <w:tblW w:w="15174" w:type="dxa"/>
        <w:tblInd w:w="-147" w:type="dxa"/>
        <w:tblLook w:val="04A0" w:firstRow="1" w:lastRow="0" w:firstColumn="1" w:lastColumn="0" w:noHBand="0" w:noVBand="1"/>
      </w:tblPr>
      <w:tblGrid>
        <w:gridCol w:w="6776"/>
        <w:gridCol w:w="5528"/>
        <w:gridCol w:w="2870"/>
      </w:tblGrid>
      <w:tr w:rsidR="00335FC4" w:rsidRPr="00335FC4" w14:paraId="631F24AD" w14:textId="77777777" w:rsidTr="00A40F40">
        <w:trPr>
          <w:cantSplit/>
          <w:tblHeader/>
        </w:trPr>
        <w:tc>
          <w:tcPr>
            <w:tcW w:w="6776" w:type="dxa"/>
            <w:vAlign w:val="center"/>
          </w:tcPr>
          <w:p w14:paraId="486BD56E" w14:textId="2A04F8A6" w:rsidR="00300CD2" w:rsidRPr="00335FC4" w:rsidRDefault="00300CD2" w:rsidP="00261F68">
            <w:pPr>
              <w:widowControl w:val="0"/>
              <w:jc w:val="center"/>
              <w:rPr>
                <w:b/>
                <w:bCs/>
              </w:rPr>
            </w:pPr>
            <w:r w:rsidRPr="00335FC4">
              <w:rPr>
                <w:b/>
                <w:bCs/>
              </w:rPr>
              <w:t>Nghị quyết số 25/2019/NQ-HĐND</w:t>
            </w:r>
          </w:p>
        </w:tc>
        <w:tc>
          <w:tcPr>
            <w:tcW w:w="5528" w:type="dxa"/>
            <w:vAlign w:val="center"/>
          </w:tcPr>
          <w:p w14:paraId="6BE7B9A5" w14:textId="74832727" w:rsidR="00300CD2" w:rsidRPr="00335FC4" w:rsidRDefault="00300CD2" w:rsidP="00261F68">
            <w:pPr>
              <w:widowControl w:val="0"/>
              <w:jc w:val="center"/>
              <w:rPr>
                <w:b/>
                <w:bCs/>
              </w:rPr>
            </w:pPr>
            <w:r w:rsidRPr="00335FC4">
              <w:rPr>
                <w:b/>
                <w:bCs/>
              </w:rPr>
              <w:t>Dự thảo nghị quyết mới</w:t>
            </w:r>
          </w:p>
        </w:tc>
        <w:tc>
          <w:tcPr>
            <w:tcW w:w="2870" w:type="dxa"/>
            <w:vAlign w:val="center"/>
          </w:tcPr>
          <w:p w14:paraId="33C9E33B" w14:textId="45E86273" w:rsidR="00300CD2" w:rsidRPr="00335FC4" w:rsidRDefault="00300CD2" w:rsidP="00261F68">
            <w:pPr>
              <w:widowControl w:val="0"/>
              <w:jc w:val="center"/>
              <w:rPr>
                <w:b/>
                <w:bCs/>
              </w:rPr>
            </w:pPr>
            <w:r w:rsidRPr="00335FC4">
              <w:rPr>
                <w:b/>
                <w:bCs/>
              </w:rPr>
              <w:t>Thuyết minh cụ thể dự thảo Nghị quyết mới</w:t>
            </w:r>
          </w:p>
        </w:tc>
      </w:tr>
      <w:tr w:rsidR="00335FC4" w:rsidRPr="00335FC4" w14:paraId="15EC2C8D" w14:textId="77777777" w:rsidTr="00A40F40">
        <w:trPr>
          <w:cantSplit/>
        </w:trPr>
        <w:tc>
          <w:tcPr>
            <w:tcW w:w="6776" w:type="dxa"/>
          </w:tcPr>
          <w:p w14:paraId="4041FAAF" w14:textId="77777777" w:rsidR="00357A01" w:rsidRPr="00335FC4" w:rsidRDefault="00357A01" w:rsidP="00261F68">
            <w:pPr>
              <w:widowControl w:val="0"/>
              <w:jc w:val="both"/>
              <w:rPr>
                <w:lang w:val="en-US"/>
              </w:rPr>
            </w:pPr>
            <w:r w:rsidRPr="00335FC4">
              <w:rPr>
                <w:lang w:val="en-US"/>
              </w:rPr>
              <w:t>Căn cứ Luật tổ chức chính quyền địa phương ngày 19 tháng 5 năm 2015;</w:t>
            </w:r>
          </w:p>
          <w:p w14:paraId="3E3AE9E9" w14:textId="77777777" w:rsidR="00357A01" w:rsidRPr="00335FC4" w:rsidRDefault="00357A01" w:rsidP="00261F68">
            <w:pPr>
              <w:widowControl w:val="0"/>
              <w:jc w:val="both"/>
              <w:rPr>
                <w:lang w:val="en-US"/>
              </w:rPr>
            </w:pPr>
            <w:r w:rsidRPr="00335FC4">
              <w:rPr>
                <w:lang w:val="en-US"/>
              </w:rPr>
              <w:t>Căn cứ Luật ban hành văn bản quy phạm pháp luật ngày 22 tháng 6 năm 2015;</w:t>
            </w:r>
          </w:p>
          <w:p w14:paraId="752C5D6B" w14:textId="77777777" w:rsidR="00357A01" w:rsidRPr="00335FC4" w:rsidRDefault="00357A01" w:rsidP="00261F68">
            <w:pPr>
              <w:widowControl w:val="0"/>
              <w:jc w:val="both"/>
              <w:rPr>
                <w:lang w:val="en-US"/>
              </w:rPr>
            </w:pPr>
            <w:r w:rsidRPr="00335FC4">
              <w:rPr>
                <w:lang w:val="en-US"/>
              </w:rPr>
              <w:t>Căn cứ Luật ngân sách nhà nước ngày 25 tháng 6 năm 2015;</w:t>
            </w:r>
          </w:p>
          <w:p w14:paraId="4208C08A" w14:textId="3FEEEEA6" w:rsidR="00357A01" w:rsidRPr="00335FC4" w:rsidRDefault="00357A01" w:rsidP="00261F68">
            <w:pPr>
              <w:widowControl w:val="0"/>
              <w:jc w:val="both"/>
              <w:rPr>
                <w:lang w:val="en-US"/>
              </w:rPr>
            </w:pPr>
            <w:r w:rsidRPr="00335FC4">
              <w:rPr>
                <w:lang w:val="en-US"/>
              </w:rPr>
              <w:t>Căn cứ Nghị định số 163/2016/NĐ-CP ngày 21 tháng 12 năm 2016 của Chính phủ quy định chi tiết thi hành một số điều của Luật Ngân sách nhà nước;</w:t>
            </w:r>
          </w:p>
          <w:p w14:paraId="64CF52E9" w14:textId="3BAEED3E" w:rsidR="00357A01" w:rsidRPr="00335FC4" w:rsidRDefault="00357A01" w:rsidP="00261F68">
            <w:pPr>
              <w:widowControl w:val="0"/>
              <w:jc w:val="both"/>
              <w:rPr>
                <w:lang w:val="en-US"/>
              </w:rPr>
            </w:pPr>
            <w:r w:rsidRPr="00335FC4">
              <w:rPr>
                <w:lang w:val="en-US"/>
              </w:rPr>
              <w:t>Căn cứ Nghị định số 101/2017/NĐ-CP ngày 01 tháng 9 năm 2017 của Chính phủ về đào tạo, bồi dưỡng cán bộ, công chức, viên chức;</w:t>
            </w:r>
          </w:p>
          <w:p w14:paraId="00AC9A40" w14:textId="105BC420" w:rsidR="00357A01" w:rsidRPr="00335FC4" w:rsidRDefault="00357A01" w:rsidP="00261F68">
            <w:pPr>
              <w:widowControl w:val="0"/>
              <w:jc w:val="both"/>
              <w:rPr>
                <w:lang w:val="en-US"/>
              </w:rPr>
            </w:pPr>
            <w:r w:rsidRPr="00335FC4">
              <w:rPr>
                <w:lang w:val="en-US"/>
              </w:rPr>
              <w:t>Căn cứ Thông tư số 36/2018/TT-BTC ngày 30 tháng 3 năm 2018 của Bộ Tài chính hướng dẫn việc lập dự toán, quản lý, sử dụng và quyết toán kinh phí dành cho công tác đào tạo, bồi dưỡng cán bộ, công chức, viên chức;</w:t>
            </w:r>
          </w:p>
          <w:p w14:paraId="2577EA45" w14:textId="77777777" w:rsidR="00357A01" w:rsidRPr="00335FC4" w:rsidRDefault="00357A01" w:rsidP="00261F68">
            <w:pPr>
              <w:widowControl w:val="0"/>
              <w:jc w:val="center"/>
            </w:pPr>
          </w:p>
        </w:tc>
        <w:tc>
          <w:tcPr>
            <w:tcW w:w="5528" w:type="dxa"/>
          </w:tcPr>
          <w:p w14:paraId="78A64869" w14:textId="77777777" w:rsidR="00357A01" w:rsidRPr="00335FC4" w:rsidRDefault="00357A01" w:rsidP="00261F68">
            <w:pPr>
              <w:pStyle w:val="NormalWeb"/>
              <w:widowControl w:val="0"/>
              <w:spacing w:before="0" w:beforeAutospacing="0" w:after="0" w:afterAutospacing="0"/>
              <w:jc w:val="both"/>
              <w:rPr>
                <w:lang w:val="vi-VN"/>
              </w:rPr>
            </w:pPr>
            <w:r w:rsidRPr="00335FC4">
              <w:rPr>
                <w:lang w:val="vi-VN"/>
              </w:rPr>
              <w:t xml:space="preserve">Căn cứ Luật Tổ chức chính quyền địa phương </w:t>
            </w:r>
            <w:r w:rsidRPr="00335FC4">
              <w:t>số 72/2025/QH15;</w:t>
            </w:r>
          </w:p>
          <w:p w14:paraId="1E34E912" w14:textId="77777777" w:rsidR="00357A01" w:rsidRPr="00335FC4" w:rsidRDefault="00357A01" w:rsidP="00261F68">
            <w:pPr>
              <w:pStyle w:val="NormalWeb"/>
              <w:widowControl w:val="0"/>
              <w:spacing w:before="0" w:beforeAutospacing="0" w:after="0" w:afterAutospacing="0"/>
              <w:jc w:val="both"/>
            </w:pPr>
            <w:r w:rsidRPr="00335FC4">
              <w:rPr>
                <w:lang w:val="vi-VN"/>
              </w:rPr>
              <w:t xml:space="preserve">Căn cứ Luật Ngân sách nhà nước </w:t>
            </w:r>
            <w:r w:rsidRPr="00335FC4">
              <w:t>số 89/2025/QH15;</w:t>
            </w:r>
          </w:p>
          <w:p w14:paraId="6EDE1F65" w14:textId="77777777" w:rsidR="00357A01" w:rsidRPr="00335FC4" w:rsidRDefault="00357A01" w:rsidP="00261F68">
            <w:pPr>
              <w:pStyle w:val="NormalWeb"/>
              <w:widowControl w:val="0"/>
              <w:spacing w:before="0" w:beforeAutospacing="0" w:after="0" w:afterAutospacing="0"/>
              <w:jc w:val="both"/>
              <w:rPr>
                <w:spacing w:val="-8"/>
              </w:rPr>
            </w:pPr>
            <w:r w:rsidRPr="00335FC4">
              <w:rPr>
                <w:spacing w:val="-8"/>
              </w:rPr>
              <w:t>Căn cứ Luật Ban hành văn bản quy phạm pháp luật số 64/2025/QH15 được sửa đổi, bổ sung bởi Luật số 87/2025/QH15;</w:t>
            </w:r>
          </w:p>
          <w:p w14:paraId="5A6746F2" w14:textId="77777777" w:rsidR="00357A01" w:rsidRPr="00335FC4" w:rsidRDefault="00357A01" w:rsidP="00261F68">
            <w:pPr>
              <w:widowControl w:val="0"/>
              <w:jc w:val="both"/>
            </w:pPr>
            <w:r w:rsidRPr="00335FC4">
              <w:t>Căn cứ Luật Cán bộ, công chức số 80/2025/QH15;</w:t>
            </w:r>
          </w:p>
          <w:p w14:paraId="4719A96D" w14:textId="77777777" w:rsidR="00357A01" w:rsidRPr="00335FC4" w:rsidRDefault="00357A01" w:rsidP="00261F68">
            <w:pPr>
              <w:widowControl w:val="0"/>
              <w:jc w:val="both"/>
            </w:pPr>
            <w:r w:rsidRPr="00335FC4">
              <w:t>Căn cứ Luật Viên chức số 129/2025/QH15;</w:t>
            </w:r>
          </w:p>
          <w:p w14:paraId="3E858993" w14:textId="77777777" w:rsidR="00357A01" w:rsidRPr="00335FC4" w:rsidRDefault="00357A01" w:rsidP="00261F68">
            <w:pPr>
              <w:widowControl w:val="0"/>
              <w:jc w:val="both"/>
            </w:pPr>
            <w:bookmarkStart w:id="1" w:name="cumtu_1"/>
            <w:r w:rsidRPr="00335FC4">
              <w:t>Căn cứ Luật Ngân sách nhà nước số 89/2025/QH15;</w:t>
            </w:r>
            <w:bookmarkEnd w:id="1"/>
          </w:p>
          <w:p w14:paraId="23FB911D" w14:textId="013AD975" w:rsidR="00357A01" w:rsidRPr="00335FC4" w:rsidRDefault="00357A01" w:rsidP="00261F68">
            <w:pPr>
              <w:widowControl w:val="0"/>
              <w:jc w:val="both"/>
            </w:pPr>
            <w:r w:rsidRPr="00335FC4">
              <w:t>Căn cứ Nghị định số 101/2017/NĐ-CP của Chính phủ về đào tạo, bồi dưỡng cán bộ, công chức, viên chức và Nghị định số 89/2021/NĐ-CP của Chính phủ sửa đổi, bổ sung một số điều của Nghị định số 101/2017/NĐ-CP ngày 01 tháng 9 năm 2017 của Chính phủ;</w:t>
            </w:r>
          </w:p>
          <w:p w14:paraId="249E0240" w14:textId="49B4FED9" w:rsidR="00357A01" w:rsidRPr="00335FC4" w:rsidRDefault="00357A01" w:rsidP="00357A01">
            <w:pPr>
              <w:widowControl w:val="0"/>
              <w:jc w:val="both"/>
              <w:rPr>
                <w:lang w:val="vi-VN"/>
              </w:rPr>
            </w:pPr>
            <w:r w:rsidRPr="00335FC4">
              <w:t>Căn cứ Nghị định số 171/2025/NĐ-CP của Chính phủ quy định về đào tạo, bồi dưỡng công chức;</w:t>
            </w:r>
          </w:p>
          <w:p w14:paraId="04631517" w14:textId="3FA19E27" w:rsidR="00357A01" w:rsidRPr="00335FC4" w:rsidRDefault="00357A01" w:rsidP="00357A01">
            <w:pPr>
              <w:widowControl w:val="0"/>
              <w:jc w:val="both"/>
              <w:rPr>
                <w:lang w:val="vi-VN"/>
              </w:rPr>
            </w:pPr>
            <w:r w:rsidRPr="00335FC4">
              <w:t>Căn cứ Thông tư số 100/2025/TT-BTC của Bộ Tài chính hướng dẫn việc lập dự toán, quản lý, sử dụng và quyết toán kinh phí dành cho công tác đào tạo, bồi dưỡng công chức, viên chức;</w:t>
            </w:r>
          </w:p>
        </w:tc>
        <w:tc>
          <w:tcPr>
            <w:tcW w:w="2870" w:type="dxa"/>
          </w:tcPr>
          <w:p w14:paraId="682CB36C" w14:textId="6F0191A1" w:rsidR="00357A01" w:rsidRPr="00335FC4" w:rsidRDefault="00357A01" w:rsidP="00261F68">
            <w:pPr>
              <w:widowControl w:val="0"/>
              <w:spacing w:after="120"/>
              <w:jc w:val="both"/>
            </w:pPr>
            <w:r w:rsidRPr="00335FC4">
              <w:rPr>
                <w:lang w:val="vi-VN"/>
              </w:rPr>
              <w:t xml:space="preserve">Cập nhật phần căn cứ pháp lý, thay thế các </w:t>
            </w:r>
            <w:r w:rsidRPr="00335FC4">
              <w:rPr>
                <w:lang w:val="en-US"/>
              </w:rPr>
              <w:t>quy định</w:t>
            </w:r>
            <w:r w:rsidRPr="00335FC4">
              <w:rPr>
                <w:lang w:val="vi-VN"/>
              </w:rPr>
              <w:t xml:space="preserve"> đã hết hiệu lực, bổ sung các </w:t>
            </w:r>
            <w:r w:rsidRPr="00335FC4">
              <w:rPr>
                <w:lang w:val="en-US"/>
              </w:rPr>
              <w:t>quy định</w:t>
            </w:r>
            <w:r w:rsidRPr="00335FC4">
              <w:rPr>
                <w:lang w:val="vi-VN"/>
              </w:rPr>
              <w:t xml:space="preserve"> mới ban hành có liên quan đến dự thảo Nghị </w:t>
            </w:r>
            <w:r w:rsidRPr="00335FC4">
              <w:rPr>
                <w:lang w:val="en-US"/>
              </w:rPr>
              <w:t>quyết</w:t>
            </w:r>
          </w:p>
        </w:tc>
      </w:tr>
      <w:tr w:rsidR="00335FC4" w:rsidRPr="00335FC4" w14:paraId="3CDA14EE" w14:textId="77777777" w:rsidTr="00A40F40">
        <w:trPr>
          <w:cantSplit/>
          <w:trHeight w:val="2692"/>
        </w:trPr>
        <w:tc>
          <w:tcPr>
            <w:tcW w:w="6776" w:type="dxa"/>
            <w:vAlign w:val="center"/>
          </w:tcPr>
          <w:p w14:paraId="624152C7" w14:textId="77777777" w:rsidR="00C07C5B" w:rsidRPr="00335FC4" w:rsidRDefault="00C07C5B" w:rsidP="00261F68">
            <w:pPr>
              <w:widowControl w:val="0"/>
              <w:spacing w:after="120"/>
              <w:jc w:val="center"/>
            </w:pPr>
            <w:bookmarkStart w:id="2" w:name="chuong_1"/>
            <w:r w:rsidRPr="00335FC4">
              <w:rPr>
                <w:b/>
                <w:bCs/>
              </w:rPr>
              <w:lastRenderedPageBreak/>
              <w:t>Chương I</w:t>
            </w:r>
            <w:bookmarkEnd w:id="2"/>
          </w:p>
          <w:p w14:paraId="7F118B1C" w14:textId="77777777" w:rsidR="00C07C5B" w:rsidRPr="00335FC4" w:rsidRDefault="00C07C5B" w:rsidP="00261F68">
            <w:pPr>
              <w:widowControl w:val="0"/>
              <w:spacing w:after="120"/>
              <w:jc w:val="center"/>
            </w:pPr>
            <w:bookmarkStart w:id="3" w:name="chuong_1_name"/>
            <w:r w:rsidRPr="00335FC4">
              <w:rPr>
                <w:b/>
                <w:bCs/>
              </w:rPr>
              <w:t>QUY ĐỊNH CHUNG</w:t>
            </w:r>
            <w:bookmarkEnd w:id="3"/>
          </w:p>
          <w:p w14:paraId="5F12A3D0" w14:textId="77777777" w:rsidR="00C07C5B" w:rsidRPr="00335FC4" w:rsidRDefault="00C07C5B" w:rsidP="00261F68">
            <w:pPr>
              <w:widowControl w:val="0"/>
              <w:spacing w:after="120"/>
              <w:jc w:val="both"/>
            </w:pPr>
            <w:bookmarkStart w:id="4" w:name="dieu_1_1"/>
            <w:r w:rsidRPr="00335FC4">
              <w:rPr>
                <w:b/>
                <w:bCs/>
              </w:rPr>
              <w:t>Điều 1. Phạm vi điều chỉnh</w:t>
            </w:r>
            <w:bookmarkEnd w:id="4"/>
          </w:p>
          <w:p w14:paraId="3510B112" w14:textId="79F4C75E" w:rsidR="00C07C5B" w:rsidRPr="006001F4" w:rsidRDefault="00C07C5B" w:rsidP="002B714D">
            <w:pPr>
              <w:widowControl w:val="0"/>
              <w:spacing w:after="120"/>
              <w:jc w:val="both"/>
              <w:rPr>
                <w:lang w:val="en-US"/>
              </w:rPr>
            </w:pPr>
            <w:r w:rsidRPr="00335FC4">
              <w:t>Quy định này quy định về đối tượng, điều kiện hưởng trợ cấp, mức trợ cấp và quyền lợi, trách nhiệm của cán bộ, công chức, viên chức được cơ quan có thẩm quyền cử đi đào tạo ở trong nước và ở nước ngoài (gọi chung là học viên).</w:t>
            </w:r>
          </w:p>
        </w:tc>
        <w:tc>
          <w:tcPr>
            <w:tcW w:w="5528" w:type="dxa"/>
            <w:vAlign w:val="center"/>
          </w:tcPr>
          <w:p w14:paraId="7F1175E2" w14:textId="77777777" w:rsidR="00C07C5B" w:rsidRPr="00335FC4" w:rsidRDefault="00C07C5B" w:rsidP="00261F68">
            <w:pPr>
              <w:widowControl w:val="0"/>
              <w:spacing w:after="120"/>
              <w:ind w:left="720" w:hanging="720"/>
              <w:jc w:val="both"/>
            </w:pPr>
            <w:r w:rsidRPr="00335FC4">
              <w:rPr>
                <w:b/>
                <w:bCs/>
              </w:rPr>
              <w:t>Điều 1. Phạm vi điều chỉnh</w:t>
            </w:r>
          </w:p>
          <w:p w14:paraId="5C65CFA3" w14:textId="620182AD" w:rsidR="00C07C5B" w:rsidRPr="002B714D" w:rsidRDefault="00871F56" w:rsidP="002B714D">
            <w:pPr>
              <w:widowControl w:val="0"/>
              <w:spacing w:after="120"/>
              <w:jc w:val="both"/>
            </w:pPr>
            <w:r w:rsidRPr="00871F56">
              <w:t>Quy định chính sách khuyến khích cán bộ, công chức, viên chức trên địa bàn tỉnh Gia Lai không ngừng học tập, nâng cao trình độ, năng lực công tác.</w:t>
            </w:r>
          </w:p>
        </w:tc>
        <w:tc>
          <w:tcPr>
            <w:tcW w:w="2870" w:type="dxa"/>
            <w:vAlign w:val="center"/>
          </w:tcPr>
          <w:p w14:paraId="571ADE96" w14:textId="16F4DEDB" w:rsidR="00C07C5B" w:rsidRPr="00335FC4" w:rsidRDefault="00C07C5B" w:rsidP="00357A01">
            <w:pPr>
              <w:widowControl w:val="0"/>
              <w:spacing w:after="120"/>
              <w:jc w:val="both"/>
              <w:rPr>
                <w:b/>
                <w:bCs/>
              </w:rPr>
            </w:pPr>
            <w:r w:rsidRPr="00335FC4">
              <w:rPr>
                <w:lang w:val="vi-VN"/>
              </w:rPr>
              <w:t xml:space="preserve">Hướng dẫn quy định chi tiết </w:t>
            </w:r>
            <w:r w:rsidRPr="00335FC4">
              <w:rPr>
                <w:spacing w:val="2"/>
                <w:lang w:val="vi-VN"/>
              </w:rPr>
              <w:t xml:space="preserve">khoản 1, 3 Điều 42 </w:t>
            </w:r>
            <w:r w:rsidRPr="00335FC4">
              <w:rPr>
                <w:spacing w:val="-2"/>
              </w:rPr>
              <w:t>Nghị định số 101/2017/NĐ-CP ngày 01</w:t>
            </w:r>
            <w:r w:rsidRPr="00335FC4">
              <w:rPr>
                <w:spacing w:val="-2"/>
                <w:lang w:val="vi-VN"/>
              </w:rPr>
              <w:t>/</w:t>
            </w:r>
            <w:r w:rsidRPr="00335FC4">
              <w:rPr>
                <w:spacing w:val="-2"/>
              </w:rPr>
              <w:t>9</w:t>
            </w:r>
            <w:r w:rsidRPr="00335FC4">
              <w:rPr>
                <w:spacing w:val="-2"/>
                <w:lang w:val="vi-VN"/>
              </w:rPr>
              <w:t>/</w:t>
            </w:r>
            <w:r w:rsidRPr="00335FC4">
              <w:rPr>
                <w:spacing w:val="-2"/>
              </w:rPr>
              <w:t>2017; khoản 1</w:t>
            </w:r>
            <w:r w:rsidRPr="00335FC4">
              <w:rPr>
                <w:spacing w:val="-2"/>
                <w:lang w:val="vi-VN"/>
              </w:rPr>
              <w:t xml:space="preserve">, </w:t>
            </w:r>
            <w:r w:rsidRPr="00335FC4">
              <w:rPr>
                <w:spacing w:val="-2"/>
              </w:rPr>
              <w:t>2 Điều 37</w:t>
            </w:r>
            <w:r w:rsidRPr="00335FC4">
              <w:rPr>
                <w:spacing w:val="-2"/>
                <w:lang w:val="vi-VN"/>
              </w:rPr>
              <w:t xml:space="preserve"> </w:t>
            </w:r>
            <w:r w:rsidRPr="00335FC4">
              <w:rPr>
                <w:spacing w:val="-2"/>
              </w:rPr>
              <w:t>Nghị định số 171/2025/NĐ-CP ngày 30/6/2025 của Chính phủ</w:t>
            </w:r>
          </w:p>
        </w:tc>
      </w:tr>
      <w:tr w:rsidR="00335FC4" w:rsidRPr="00335FC4" w14:paraId="138C9C22" w14:textId="77777777" w:rsidTr="00A40F40">
        <w:trPr>
          <w:cantSplit/>
          <w:trHeight w:val="613"/>
        </w:trPr>
        <w:tc>
          <w:tcPr>
            <w:tcW w:w="6776" w:type="dxa"/>
          </w:tcPr>
          <w:p w14:paraId="3FDB94D4" w14:textId="77777777" w:rsidR="00C07C5B" w:rsidRPr="00335FC4" w:rsidRDefault="00C07C5B" w:rsidP="00261F68">
            <w:pPr>
              <w:widowControl w:val="0"/>
              <w:spacing w:after="120"/>
              <w:jc w:val="both"/>
            </w:pPr>
            <w:bookmarkStart w:id="5" w:name="dieu_2_1"/>
            <w:r w:rsidRPr="00335FC4">
              <w:rPr>
                <w:b/>
                <w:bCs/>
              </w:rPr>
              <w:t>Điều 2. Đối tượng áp dụng</w:t>
            </w:r>
            <w:bookmarkEnd w:id="5"/>
          </w:p>
          <w:p w14:paraId="65E9664D" w14:textId="77777777" w:rsidR="00C07C5B" w:rsidRPr="00335FC4" w:rsidRDefault="00C07C5B" w:rsidP="00261F68">
            <w:pPr>
              <w:widowControl w:val="0"/>
              <w:spacing w:after="120"/>
              <w:jc w:val="both"/>
            </w:pPr>
            <w:r w:rsidRPr="00335FC4">
              <w:t>1. Đào tạo chuyên môn trình độ tiến sĩ, thạc sĩ, bác sĩ chuyên khoa cấp I, cấp II, dược sĩ chuyên khoa cấp I, cấp II (gọi chung là đào tạo sau đại học)</w:t>
            </w:r>
          </w:p>
          <w:p w14:paraId="46067748" w14:textId="77777777" w:rsidR="00C07C5B" w:rsidRPr="00335FC4" w:rsidRDefault="00C07C5B" w:rsidP="00261F68">
            <w:pPr>
              <w:widowControl w:val="0"/>
              <w:spacing w:after="120"/>
              <w:jc w:val="both"/>
            </w:pPr>
            <w:r w:rsidRPr="00335FC4">
              <w:t>a) Cán bộ, công chức, viên chức giữ chức vụ lãnh đạo, quản lý và quy hoạch các chức danh lãnh đạo, quản lý cấp phòng và tương đương các sở, ban, ngành trở lên (</w:t>
            </w:r>
            <w:r w:rsidRPr="00335FC4">
              <w:rPr>
                <w:i/>
                <w:iCs/>
              </w:rPr>
              <w:t>Các cơ quan tham mưu giúp việc thuộc Tỉnh ủy, Văn phòng Hội đồng nhân dân và các Ban của Hội đồng nhân dân tỉnh; các cơ quan chuyên môn thuộc Ủy ban nhân dân tỉnh; Ban Quản lý Khu kinh tế tỉnh và các đơn vị sự nghiệp thực thuộc Ủy ban nhân dân tỉnh; Mặt trận và các tổ chức chính trị - xã hội tỉnh</w:t>
            </w:r>
            <w:r w:rsidRPr="00335FC4">
              <w:t>);</w:t>
            </w:r>
          </w:p>
          <w:p w14:paraId="68210B8D" w14:textId="6D124C93" w:rsidR="00C07C5B" w:rsidRPr="00335FC4" w:rsidRDefault="00C07C5B" w:rsidP="00261F68">
            <w:pPr>
              <w:widowControl w:val="0"/>
              <w:spacing w:after="120"/>
              <w:jc w:val="both"/>
              <w:rPr>
                <w:lang w:val="vi-VN"/>
              </w:rPr>
            </w:pPr>
            <w:r w:rsidRPr="00335FC4">
              <w:t>b) Cán bộ, công chức, viên chức giữ chức vụ lãnh đạo, quản lý và quy hoạch các chức danh lãnh đạo, quản lý các phòng, ban và tương đương cấp huyện trở lên (</w:t>
            </w:r>
            <w:r w:rsidRPr="00335FC4">
              <w:rPr>
                <w:i/>
                <w:iCs/>
              </w:rPr>
              <w:t>Các cơ quan tham mưu giúp việc thuộc Huyện ủy, Thị ủy, Thành ủy; các cơ quan chuyên môn thuộc Ủy ban nhân dân cấp huyện; các đơn vị sự nghiệp thực thuộc Ủy ban nhân dân cấp huyện;Mặt trận và các tổ chức chính trị - xã hội cấp huyện</w:t>
            </w:r>
            <w:r w:rsidRPr="00335FC4">
              <w:t>);</w:t>
            </w:r>
          </w:p>
        </w:tc>
        <w:tc>
          <w:tcPr>
            <w:tcW w:w="5528" w:type="dxa"/>
          </w:tcPr>
          <w:p w14:paraId="53212F3E" w14:textId="77777777" w:rsidR="00C07C5B" w:rsidRPr="00335FC4" w:rsidRDefault="00C07C5B" w:rsidP="00261F68">
            <w:pPr>
              <w:widowControl w:val="0"/>
              <w:spacing w:after="120"/>
              <w:ind w:firstLine="33"/>
              <w:jc w:val="both"/>
            </w:pPr>
            <w:r w:rsidRPr="00335FC4">
              <w:rPr>
                <w:b/>
                <w:bCs/>
              </w:rPr>
              <w:t>Điều 2. Đối tượng áp dụng</w:t>
            </w:r>
          </w:p>
          <w:p w14:paraId="3B1E4D64" w14:textId="77777777" w:rsidR="00C07C5B" w:rsidRPr="00335FC4" w:rsidRDefault="00C07C5B" w:rsidP="00261F68">
            <w:pPr>
              <w:widowControl w:val="0"/>
              <w:spacing w:after="120"/>
              <w:ind w:firstLine="33"/>
              <w:jc w:val="both"/>
            </w:pPr>
            <w:r w:rsidRPr="00335FC4">
              <w:t>Cán bộ, công chức, viên chức tại các cơ quan của Đảng Cộng sản Việt Nam, Nhà nước, tổ chức chính trị - xã hội và cấp xã thuộc tỉnh Gia Lai.</w:t>
            </w:r>
          </w:p>
          <w:p w14:paraId="56C5048D" w14:textId="301F6DB8" w:rsidR="00C07C5B" w:rsidRPr="00335FC4" w:rsidRDefault="00C07C5B" w:rsidP="00261F68">
            <w:pPr>
              <w:widowControl w:val="0"/>
              <w:ind w:left="37"/>
              <w:jc w:val="both"/>
              <w:rPr>
                <w:b/>
                <w:bCs/>
              </w:rPr>
            </w:pPr>
          </w:p>
        </w:tc>
        <w:tc>
          <w:tcPr>
            <w:tcW w:w="2870" w:type="dxa"/>
          </w:tcPr>
          <w:p w14:paraId="06CC7FA7" w14:textId="0C451A4F" w:rsidR="00C07C5B" w:rsidRPr="00335FC4" w:rsidRDefault="00C07C5B" w:rsidP="00357A01">
            <w:pPr>
              <w:widowControl w:val="0"/>
              <w:jc w:val="both"/>
            </w:pPr>
            <w:r w:rsidRPr="00335FC4">
              <w:t>Các đối tượng áp dụng theo quy định của pháp luật hiện hành, phù hợp với phạm vi điều chỉnh của Nghị quyết.</w:t>
            </w:r>
          </w:p>
          <w:p w14:paraId="5F4C7761" w14:textId="77777777" w:rsidR="00C07C5B" w:rsidRPr="00335FC4" w:rsidRDefault="00C07C5B" w:rsidP="00261F68">
            <w:pPr>
              <w:widowControl w:val="0"/>
              <w:jc w:val="center"/>
              <w:rPr>
                <w:b/>
                <w:bCs/>
              </w:rPr>
            </w:pPr>
          </w:p>
        </w:tc>
      </w:tr>
      <w:tr w:rsidR="00335FC4" w:rsidRPr="00335FC4" w14:paraId="772C186C" w14:textId="77777777" w:rsidTr="00A40F40">
        <w:trPr>
          <w:cantSplit/>
          <w:trHeight w:val="613"/>
        </w:trPr>
        <w:tc>
          <w:tcPr>
            <w:tcW w:w="6776" w:type="dxa"/>
            <w:vAlign w:val="center"/>
          </w:tcPr>
          <w:p w14:paraId="0244AFCA" w14:textId="20187D79" w:rsidR="00357A01" w:rsidRPr="00335FC4" w:rsidRDefault="00357A01" w:rsidP="00357A01">
            <w:pPr>
              <w:widowControl w:val="0"/>
              <w:spacing w:after="120"/>
              <w:jc w:val="both"/>
              <w:rPr>
                <w:lang w:val="vi-VN"/>
              </w:rPr>
            </w:pPr>
            <w:r w:rsidRPr="00335FC4">
              <w:lastRenderedPageBreak/>
              <w:t>c) Công chức, viên chức làm công tác nghiên cứu, hoạt động khoa học, văn hóa, nghệ thuật, khám chữa bệnh, giảng dạy trong các đơn vị sự nghiệp công lập trực thuộc Ủy ban nhân dân tỉnh và trong các cơ quan, đơn vị trực thuộc các sở, ban, ngành cấp tỉnh mà yêu cầu tiêu chuẩn, vị trí việc làm phải có trình độ sau đại học.</w:t>
            </w:r>
          </w:p>
          <w:p w14:paraId="71B1E1E4" w14:textId="72109C2F" w:rsidR="00357A01" w:rsidRPr="00335FC4" w:rsidRDefault="00357A01" w:rsidP="00357A01">
            <w:pPr>
              <w:widowControl w:val="0"/>
              <w:spacing w:after="120"/>
              <w:jc w:val="both"/>
            </w:pPr>
            <w:r w:rsidRPr="00335FC4">
              <w:t>2. Đào tạo chuyên môn trình độ đại học</w:t>
            </w:r>
          </w:p>
          <w:p w14:paraId="5033CF01" w14:textId="77777777" w:rsidR="00357A01" w:rsidRPr="00335FC4" w:rsidRDefault="00357A01" w:rsidP="00357A01">
            <w:pPr>
              <w:widowControl w:val="0"/>
              <w:spacing w:after="120"/>
              <w:jc w:val="both"/>
            </w:pPr>
            <w:r w:rsidRPr="00335FC4">
              <w:t>a) Cán bộ, công chức cấp xã là người dân tộc thiểu số;</w:t>
            </w:r>
          </w:p>
          <w:p w14:paraId="6E9937D8" w14:textId="77777777" w:rsidR="00357A01" w:rsidRPr="00335FC4" w:rsidRDefault="00357A01" w:rsidP="00357A01">
            <w:pPr>
              <w:widowControl w:val="0"/>
              <w:spacing w:after="120"/>
              <w:jc w:val="both"/>
            </w:pPr>
            <w:r w:rsidRPr="00335FC4">
              <w:t>b) Cán bộ, công chức cấp xã đang công tác tại các xã miền núi, hải đảo, vùng sâu, vùng xa, vùng dân tộc thiểu số, vùng có điều kiện kinh tế - xã hội đặc biệt khó khăn.</w:t>
            </w:r>
          </w:p>
          <w:p w14:paraId="07005B8C" w14:textId="77777777" w:rsidR="00357A01" w:rsidRPr="00335FC4" w:rsidRDefault="00357A01" w:rsidP="00357A01">
            <w:pPr>
              <w:widowControl w:val="0"/>
              <w:spacing w:after="120"/>
              <w:jc w:val="both"/>
            </w:pPr>
            <w:r w:rsidRPr="00335FC4">
              <w:t>3. Đào tạo lý luận chính trị trình độ trung cấp, cao cấp:</w:t>
            </w:r>
          </w:p>
          <w:p w14:paraId="33C4C9ED" w14:textId="77777777" w:rsidR="00357A01" w:rsidRPr="00335FC4" w:rsidRDefault="00357A01" w:rsidP="00357A01">
            <w:pPr>
              <w:widowControl w:val="0"/>
              <w:spacing w:after="120"/>
              <w:jc w:val="both"/>
            </w:pPr>
            <w:r w:rsidRPr="00335FC4">
              <w:t>a) Các đối tượng quy định tại điểm a, b Khoản 1;</w:t>
            </w:r>
          </w:p>
          <w:p w14:paraId="08D7E4E7" w14:textId="1F834831" w:rsidR="00357A01" w:rsidRPr="00335FC4" w:rsidRDefault="00357A01" w:rsidP="00357A01">
            <w:pPr>
              <w:widowControl w:val="0"/>
              <w:spacing w:after="120"/>
              <w:jc w:val="both"/>
              <w:rPr>
                <w:b/>
                <w:bCs/>
              </w:rPr>
            </w:pPr>
            <w:r w:rsidRPr="00335FC4">
              <w:t>b) Cán bộ chủ chốt cấp xã và quy hoạch các chức danh cán bộ chủ chốt cấp xã (Bí thư, Phó Bí thư Đảng ủy; Chủ tịch, Phó Chủ tịch Hội đồng nhân dân; Chủ tịch, Phó Chủ tịch Ủy ban nhân dân và Chủ tịch Ủy ban Mặt trận Tổ quốc).</w:t>
            </w:r>
          </w:p>
        </w:tc>
        <w:tc>
          <w:tcPr>
            <w:tcW w:w="5528" w:type="dxa"/>
            <w:vAlign w:val="center"/>
          </w:tcPr>
          <w:p w14:paraId="5D752697" w14:textId="77777777" w:rsidR="00357A01" w:rsidRPr="00335FC4" w:rsidRDefault="00357A01" w:rsidP="00261F68">
            <w:pPr>
              <w:widowControl w:val="0"/>
              <w:spacing w:after="120"/>
              <w:ind w:firstLine="33"/>
              <w:jc w:val="both"/>
              <w:rPr>
                <w:b/>
                <w:bCs/>
              </w:rPr>
            </w:pPr>
          </w:p>
        </w:tc>
        <w:tc>
          <w:tcPr>
            <w:tcW w:w="2870" w:type="dxa"/>
            <w:vAlign w:val="center"/>
          </w:tcPr>
          <w:p w14:paraId="7256634B" w14:textId="77777777" w:rsidR="00357A01" w:rsidRPr="00335FC4" w:rsidRDefault="00357A01" w:rsidP="00261F68">
            <w:pPr>
              <w:widowControl w:val="0"/>
              <w:ind w:firstLine="284"/>
              <w:jc w:val="both"/>
            </w:pPr>
          </w:p>
        </w:tc>
      </w:tr>
      <w:tr w:rsidR="00335FC4" w:rsidRPr="00335FC4" w14:paraId="16BA4E01" w14:textId="77777777" w:rsidTr="00A40F40">
        <w:trPr>
          <w:cantSplit/>
          <w:trHeight w:val="613"/>
        </w:trPr>
        <w:tc>
          <w:tcPr>
            <w:tcW w:w="6776" w:type="dxa"/>
          </w:tcPr>
          <w:p w14:paraId="50EF9935" w14:textId="77777777" w:rsidR="00C07C5B" w:rsidRPr="00335FC4" w:rsidRDefault="00C07C5B" w:rsidP="00261F68">
            <w:pPr>
              <w:widowControl w:val="0"/>
              <w:shd w:val="solid" w:color="FFFFFF" w:fill="auto"/>
              <w:spacing w:after="120"/>
              <w:jc w:val="both"/>
            </w:pPr>
            <w:bookmarkStart w:id="6" w:name="dieu_3_1"/>
            <w:r w:rsidRPr="00335FC4">
              <w:rPr>
                <w:b/>
                <w:bCs/>
                <w:lang w:val="pt-BR"/>
              </w:rPr>
              <w:t>Điều 3. Nguyên tắc áp dụng chính sách</w:t>
            </w:r>
            <w:bookmarkEnd w:id="6"/>
          </w:p>
          <w:p w14:paraId="12D553CF" w14:textId="77777777" w:rsidR="00C07C5B" w:rsidRPr="00335FC4" w:rsidRDefault="00C07C5B" w:rsidP="00261F68">
            <w:pPr>
              <w:widowControl w:val="0"/>
              <w:spacing w:after="120"/>
              <w:jc w:val="both"/>
            </w:pPr>
            <w:r w:rsidRPr="00335FC4">
              <w:t>1. Cán bộ, công chức, viên chức được cấp có thẩm quyền cử đi học đã hưởng chính sách trợ cấp theo Quy định này thì không được hưởng các chính sách theo quy định khác, trừ trường hợp Quy định này chưa có hoặc quy định khác có mức hưởng cao hơn.</w:t>
            </w:r>
          </w:p>
          <w:p w14:paraId="38BA668F" w14:textId="2C1AE1A6" w:rsidR="00C07C5B" w:rsidRPr="00335FC4" w:rsidRDefault="00C07C5B" w:rsidP="00261F68">
            <w:pPr>
              <w:widowControl w:val="0"/>
              <w:shd w:val="solid" w:color="FFFFFF" w:fill="auto"/>
              <w:spacing w:after="120"/>
              <w:jc w:val="both"/>
            </w:pPr>
            <w:r w:rsidRPr="00335FC4">
              <w:t xml:space="preserve">2. </w:t>
            </w:r>
            <w:r w:rsidRPr="00335FC4">
              <w:rPr>
                <w:lang w:val="pt-BR"/>
              </w:rPr>
              <w:t>Công chức, viên chức giữ chức vụ trưởng phòng và tương đương của các cơ quan, đơn vị (ban, chi cục, trung tâm,...) trực thuộc các sở, ban, ngành, nếu được cấp có thẩm quyền cử đi đào tạo và bảo đảm các điều kiện theo quy định tại Điều 4 thì được hưởng trợ cấp chi phí đào tạo, trợ cấp chi phí đi lại và 50% các khoản trợ cấp hàng tháng và trợ cấp khi tốt nghiệp sau đại học theo Quy định này.</w:t>
            </w:r>
          </w:p>
        </w:tc>
        <w:tc>
          <w:tcPr>
            <w:tcW w:w="5528" w:type="dxa"/>
          </w:tcPr>
          <w:p w14:paraId="717DA19E" w14:textId="77777777" w:rsidR="00C07C5B" w:rsidRPr="00335FC4" w:rsidRDefault="00C07C5B" w:rsidP="00261F68">
            <w:pPr>
              <w:widowControl w:val="0"/>
              <w:spacing w:after="120"/>
              <w:ind w:firstLine="33"/>
              <w:jc w:val="both"/>
            </w:pPr>
            <w:bookmarkStart w:id="7" w:name="dieu_2"/>
            <w:r w:rsidRPr="00335FC4">
              <w:rPr>
                <w:b/>
                <w:bCs/>
              </w:rPr>
              <w:t>Điều 3. Nguyên tắc thực hiện</w:t>
            </w:r>
            <w:bookmarkEnd w:id="7"/>
          </w:p>
          <w:p w14:paraId="7BAE1219" w14:textId="2AF7B00A" w:rsidR="00C07C5B" w:rsidRPr="00335FC4" w:rsidRDefault="00C07C5B" w:rsidP="00261F68">
            <w:pPr>
              <w:widowControl w:val="0"/>
              <w:spacing w:after="120"/>
              <w:ind w:firstLine="33"/>
              <w:jc w:val="both"/>
            </w:pPr>
            <w:r w:rsidRPr="00335FC4">
              <w:t>1. Cán bộ, công chức, viên chức được cử đi đào tạo, bồi dưỡng phải căn cứ vào vị trí việc làm gắn với công tác sử dụng, quản lý công chức, viên chức phù hợp với kế hoạch đào tạo, bồi dưỡng và nhu cầu xây dựng, phát triển nguồn nhân lực, nhất là nguồn nhân lực chất lượng cao của cơ quan, đơn vị.</w:t>
            </w:r>
          </w:p>
          <w:p w14:paraId="5FF931E8" w14:textId="77777777" w:rsidR="00C07C5B" w:rsidRPr="00335FC4" w:rsidRDefault="00C07C5B" w:rsidP="00261F68">
            <w:pPr>
              <w:widowControl w:val="0"/>
              <w:spacing w:after="120"/>
              <w:ind w:firstLine="33"/>
              <w:jc w:val="both"/>
            </w:pPr>
            <w:r w:rsidRPr="00335FC4">
              <w:t>2. Nâng cao ý thức trách nhiệm của công chức, viên chức về tự nghiên cứu, tự học tập và lựa chọn chương trình bồi dưỡng theo yêu cầu vị trí việc làm chuyên môn, nghiệp vụ.</w:t>
            </w:r>
          </w:p>
          <w:p w14:paraId="61FD4B26" w14:textId="77777777" w:rsidR="00C07C5B" w:rsidRPr="00335FC4" w:rsidRDefault="00C07C5B" w:rsidP="00261F68">
            <w:pPr>
              <w:widowControl w:val="0"/>
              <w:jc w:val="center"/>
              <w:rPr>
                <w:b/>
                <w:bCs/>
              </w:rPr>
            </w:pPr>
          </w:p>
        </w:tc>
        <w:tc>
          <w:tcPr>
            <w:tcW w:w="2870" w:type="dxa"/>
          </w:tcPr>
          <w:p w14:paraId="4D38CA6B" w14:textId="7FF1D7EF" w:rsidR="00C07C5B" w:rsidRPr="00335FC4" w:rsidRDefault="00C07C5B" w:rsidP="00335FC4">
            <w:pPr>
              <w:widowControl w:val="0"/>
              <w:jc w:val="both"/>
              <w:rPr>
                <w:b/>
                <w:bCs/>
              </w:rPr>
            </w:pPr>
            <w:r w:rsidRPr="00C740EF">
              <w:t xml:space="preserve">Căn cứ vào </w:t>
            </w:r>
            <w:r w:rsidR="00E75BFA" w:rsidRPr="00C740EF">
              <w:t>nguy</w:t>
            </w:r>
            <w:r w:rsidR="00E75BFA" w:rsidRPr="00C740EF">
              <w:rPr>
                <w:lang w:val="vi-VN"/>
              </w:rPr>
              <w:t>ê</w:t>
            </w:r>
            <w:r w:rsidRPr="00C740EF">
              <w:t>n tắc quy định tại Điều 2</w:t>
            </w:r>
            <w:r w:rsidRPr="00335FC4">
              <w:rPr>
                <w:b/>
                <w:bCs/>
              </w:rPr>
              <w:t xml:space="preserve"> </w:t>
            </w:r>
            <w:r w:rsidRPr="00335FC4">
              <w:rPr>
                <w:spacing w:val="-2"/>
              </w:rPr>
              <w:t>Nghị định số 171/2025/NĐ-CP</w:t>
            </w:r>
            <w:r w:rsidR="00335FC4">
              <w:rPr>
                <w:spacing w:val="-2"/>
                <w:lang w:val="vi-VN"/>
              </w:rPr>
              <w:t xml:space="preserve"> </w:t>
            </w:r>
            <w:r w:rsidRPr="00335FC4">
              <w:rPr>
                <w:spacing w:val="-2"/>
              </w:rPr>
              <w:t>ngày 30/6/2025 của Chính phủ</w:t>
            </w:r>
          </w:p>
        </w:tc>
      </w:tr>
      <w:tr w:rsidR="00335FC4" w:rsidRPr="00335FC4" w14:paraId="385D07B7" w14:textId="77777777" w:rsidTr="00A40F40">
        <w:trPr>
          <w:cantSplit/>
          <w:trHeight w:val="613"/>
        </w:trPr>
        <w:tc>
          <w:tcPr>
            <w:tcW w:w="6776" w:type="dxa"/>
            <w:tcBorders>
              <w:bottom w:val="single" w:sz="4" w:space="0" w:color="auto"/>
            </w:tcBorders>
          </w:tcPr>
          <w:p w14:paraId="5AECDAD8" w14:textId="77777777" w:rsidR="00C07C5B" w:rsidRPr="00335FC4" w:rsidRDefault="00C07C5B" w:rsidP="00261F68">
            <w:pPr>
              <w:widowControl w:val="0"/>
              <w:spacing w:after="120"/>
              <w:jc w:val="both"/>
            </w:pPr>
            <w:bookmarkStart w:id="8" w:name="dieu_4_1"/>
            <w:r w:rsidRPr="00335FC4">
              <w:rPr>
                <w:b/>
                <w:bCs/>
              </w:rPr>
              <w:lastRenderedPageBreak/>
              <w:t>Điều 4. Điều kiện hưởng chính sách</w:t>
            </w:r>
            <w:bookmarkEnd w:id="8"/>
          </w:p>
          <w:p w14:paraId="4B946FB4" w14:textId="77777777" w:rsidR="00C07C5B" w:rsidRPr="00335FC4" w:rsidRDefault="00C07C5B" w:rsidP="00261F68">
            <w:pPr>
              <w:widowControl w:val="0"/>
              <w:spacing w:after="120"/>
              <w:jc w:val="both"/>
            </w:pPr>
            <w:r w:rsidRPr="00335FC4">
              <w:t>1. Về thời gian công tác</w:t>
            </w:r>
          </w:p>
          <w:p w14:paraId="188E2110" w14:textId="77777777" w:rsidR="00C07C5B" w:rsidRPr="00335FC4" w:rsidRDefault="00C07C5B" w:rsidP="00261F68">
            <w:pPr>
              <w:widowControl w:val="0"/>
              <w:spacing w:after="120"/>
              <w:jc w:val="both"/>
            </w:pPr>
            <w:r w:rsidRPr="00335FC4">
              <w:t>a) Cán bộ, công chức (kể cả cán bộ, công chức cấp xã) có thời gian công tác từ đủ 03 năm trở lên (không kể thời gian tập sự) và 02 năm liên tục liền kề trước thời điểm được cử đi đào tạo hoàn thành tốt nhiệm vụ;</w:t>
            </w:r>
          </w:p>
          <w:p w14:paraId="1F972008" w14:textId="77777777" w:rsidR="00C07C5B" w:rsidRPr="00335FC4" w:rsidRDefault="00C07C5B" w:rsidP="00261F68">
            <w:pPr>
              <w:widowControl w:val="0"/>
              <w:spacing w:after="120"/>
              <w:jc w:val="both"/>
            </w:pPr>
            <w:r w:rsidRPr="00335FC4">
              <w:t>b) Viên chức đã kết thúc thời gian tập sự.</w:t>
            </w:r>
          </w:p>
          <w:p w14:paraId="03B495BF" w14:textId="77777777" w:rsidR="00C07C5B" w:rsidRPr="00335FC4" w:rsidRDefault="00C07C5B" w:rsidP="00261F68">
            <w:pPr>
              <w:widowControl w:val="0"/>
              <w:spacing w:after="120"/>
              <w:jc w:val="both"/>
            </w:pPr>
            <w:r w:rsidRPr="00335FC4">
              <w:t>2. Về tuổi đời (tính đến thời điểm được cử đi đào tạo)</w:t>
            </w:r>
          </w:p>
          <w:p w14:paraId="41E174C3" w14:textId="77777777" w:rsidR="00C07C5B" w:rsidRPr="00335FC4" w:rsidRDefault="00C07C5B" w:rsidP="00261F68">
            <w:pPr>
              <w:widowControl w:val="0"/>
              <w:spacing w:after="120"/>
              <w:jc w:val="both"/>
            </w:pPr>
            <w:r w:rsidRPr="00335FC4">
              <w:t>a) Đào tạo chuyên môn trình độ sau đại học:</w:t>
            </w:r>
          </w:p>
          <w:p w14:paraId="01493569" w14:textId="77777777" w:rsidR="00C07C5B" w:rsidRPr="00335FC4" w:rsidRDefault="00C07C5B" w:rsidP="00261F68">
            <w:pPr>
              <w:widowControl w:val="0"/>
              <w:spacing w:after="120"/>
              <w:jc w:val="both"/>
            </w:pPr>
            <w:r w:rsidRPr="00335FC4">
              <w:t>Cán bộ, công chức không qúa 40 tuổi tính từ thời điểm được cử đi đào tạo sau đại học lần đầu.</w:t>
            </w:r>
          </w:p>
          <w:p w14:paraId="7092A514" w14:textId="77777777" w:rsidR="00C07C5B" w:rsidRPr="00335FC4" w:rsidRDefault="00C07C5B" w:rsidP="00261F68">
            <w:pPr>
              <w:widowControl w:val="0"/>
              <w:spacing w:after="120"/>
              <w:jc w:val="both"/>
            </w:pPr>
            <w:r w:rsidRPr="00335FC4">
              <w:t>b) Đào tạo chuyên môn trình độ đại học: Không quá 50 tuổi đối với nam và không quá 45 tuổi đối với nữ.</w:t>
            </w:r>
          </w:p>
          <w:p w14:paraId="44D3E95A" w14:textId="77777777" w:rsidR="00C07C5B" w:rsidRPr="00335FC4" w:rsidRDefault="00C07C5B" w:rsidP="00261F68">
            <w:pPr>
              <w:widowControl w:val="0"/>
              <w:spacing w:after="120"/>
              <w:jc w:val="both"/>
            </w:pPr>
            <w:r w:rsidRPr="00335FC4">
              <w:t xml:space="preserve">3. Có cam kết tiếp tục thực hiện nhiệm vụ tại cơ quan, đơn vị sau khi hoàn thành khóa đào tạo trong thời gian ít nhất gấp </w:t>
            </w:r>
            <w:r w:rsidRPr="00335FC4">
              <w:rPr>
                <w:b/>
                <w:bCs/>
                <w:i/>
                <w:iCs/>
              </w:rPr>
              <w:t>02</w:t>
            </w:r>
            <w:r w:rsidRPr="00335FC4">
              <w:t xml:space="preserve"> lần thời gian đào tạo.</w:t>
            </w:r>
          </w:p>
          <w:p w14:paraId="600F4D57" w14:textId="10ABF518" w:rsidR="00C07C5B" w:rsidRPr="00335FC4" w:rsidRDefault="00C07C5B" w:rsidP="00261F68">
            <w:pPr>
              <w:widowControl w:val="0"/>
              <w:jc w:val="both"/>
              <w:rPr>
                <w:b/>
                <w:bCs/>
              </w:rPr>
            </w:pPr>
            <w:r w:rsidRPr="00335FC4">
              <w:t>4. Chuyên ngành cử đi đào tạo phải phù hợp với yêu cầu nhiệm vụ của vị trí việc làm, chức danh cán bộ, công chức, hạng chức danh nghề nghiệp viên chức đang đảm nhận hoặc chức danh được quy hoạch; nếu cử đi đào tạo chuyên môn trình độ sau đại học phải nằm trong danh mục các chuyên ngành và cơ sở đào tạo do Chủ tịch Ủy ban nhân dân tỉnh ban hành theo yêu cầu phát triển kinh tế - xã hội của tỉnh trong từng thời kỳ.</w:t>
            </w:r>
          </w:p>
        </w:tc>
        <w:tc>
          <w:tcPr>
            <w:tcW w:w="5528" w:type="dxa"/>
          </w:tcPr>
          <w:p w14:paraId="13014746" w14:textId="77777777" w:rsidR="00C07C5B" w:rsidRPr="00335FC4" w:rsidRDefault="00C07C5B" w:rsidP="00261F68">
            <w:pPr>
              <w:widowControl w:val="0"/>
              <w:spacing w:after="120"/>
              <w:ind w:firstLine="33"/>
              <w:jc w:val="both"/>
              <w:rPr>
                <w:b/>
                <w:bCs/>
              </w:rPr>
            </w:pPr>
            <w:r w:rsidRPr="00335FC4">
              <w:rPr>
                <w:b/>
                <w:bCs/>
              </w:rPr>
              <w:t>Điều 4. Điều kiện cử đi đào tạo sau đại học</w:t>
            </w:r>
          </w:p>
          <w:p w14:paraId="3318038D" w14:textId="77777777" w:rsidR="00C07C5B" w:rsidRPr="00335FC4" w:rsidRDefault="00C07C5B" w:rsidP="00261F68">
            <w:pPr>
              <w:widowControl w:val="0"/>
              <w:spacing w:after="120"/>
              <w:jc w:val="both"/>
            </w:pPr>
            <w:r w:rsidRPr="00335FC4">
              <w:t xml:space="preserve">1. Thời gian công tác: Công chức có thời gian công tác từ đủ 03 năm trở lên và 02 năm liên tục liền kề trước thời điểm được cử đi đào tạo sau đại học hoàn thành tốt nhiệm vụ trở lên. Viên chức đã kết thúc thời gian tập sự. </w:t>
            </w:r>
          </w:p>
          <w:p w14:paraId="3B4CF7C3" w14:textId="77777777" w:rsidR="00C07C5B" w:rsidRPr="00335FC4" w:rsidRDefault="00C07C5B" w:rsidP="00261F68">
            <w:pPr>
              <w:widowControl w:val="0"/>
              <w:spacing w:after="120"/>
              <w:ind w:firstLine="33"/>
              <w:jc w:val="both"/>
            </w:pPr>
            <w:r w:rsidRPr="00335FC4">
              <w:t>2. Về tuổi đời (tính đến thời điểm được cử đi đào tạo)</w:t>
            </w:r>
          </w:p>
          <w:p w14:paraId="12C9CEE1" w14:textId="77777777" w:rsidR="00C07C5B" w:rsidRPr="00335FC4" w:rsidRDefault="00C07C5B" w:rsidP="00261F68">
            <w:pPr>
              <w:widowControl w:val="0"/>
              <w:spacing w:after="120"/>
              <w:ind w:firstLine="33"/>
              <w:jc w:val="both"/>
            </w:pPr>
            <w:r w:rsidRPr="00335FC4">
              <w:t>a) Đào tạo chuyên môn trình độ sau đại học:  Cán bộ, công chức, viên chức không quá 40 tuổi tính từ thời điểm được cử đi đào tạo sau đại học lần đầu.</w:t>
            </w:r>
          </w:p>
          <w:p w14:paraId="63125BD0" w14:textId="77777777" w:rsidR="00C07C5B" w:rsidRPr="00335FC4" w:rsidRDefault="00C07C5B" w:rsidP="00261F68">
            <w:pPr>
              <w:widowControl w:val="0"/>
              <w:spacing w:after="120"/>
              <w:ind w:firstLine="33"/>
              <w:jc w:val="both"/>
            </w:pPr>
            <w:r w:rsidRPr="00335FC4">
              <w:t>b) Đào tạo chuyên môn trình độ đại học: Không quá 50 tuổi đối với nam và không quá 45 tuổi đối với nữ.</w:t>
            </w:r>
          </w:p>
          <w:p w14:paraId="52591EBE" w14:textId="77777777" w:rsidR="00C07C5B" w:rsidRPr="00335FC4" w:rsidRDefault="00C07C5B" w:rsidP="00261F68">
            <w:pPr>
              <w:widowControl w:val="0"/>
              <w:spacing w:after="120"/>
              <w:ind w:firstLine="33"/>
              <w:jc w:val="both"/>
            </w:pPr>
            <w:r w:rsidRPr="00335FC4">
              <w:t>3. Công chức, viên chức có cam kết thực hiện nhiệm vụ, công vụ tại cơ quan, đơn vị cử đi đào tạo sau đại học sau khi hoàn thành chương trình đào tạo trong thời gian ít nhất gấp 03 lần thời gian đào tạo.</w:t>
            </w:r>
          </w:p>
          <w:p w14:paraId="3FFD333E" w14:textId="77777777" w:rsidR="00C07C5B" w:rsidRPr="00335FC4" w:rsidRDefault="00C07C5B" w:rsidP="00261F68">
            <w:pPr>
              <w:widowControl w:val="0"/>
              <w:spacing w:after="120"/>
              <w:ind w:firstLine="33"/>
              <w:jc w:val="both"/>
            </w:pPr>
            <w:r w:rsidRPr="00335FC4">
              <w:t>4. Chuyên ngành đào tạo phù hợp với vị trí việc làm.</w:t>
            </w:r>
          </w:p>
          <w:p w14:paraId="6FA3B1A7" w14:textId="77777777" w:rsidR="00C07C5B" w:rsidRPr="00335FC4" w:rsidRDefault="00C07C5B" w:rsidP="00261F68">
            <w:pPr>
              <w:widowControl w:val="0"/>
              <w:spacing w:after="120"/>
              <w:ind w:firstLine="33"/>
              <w:jc w:val="both"/>
            </w:pPr>
            <w:r w:rsidRPr="00335FC4">
              <w:t>5. Công chức, viên chức được cử đi đào tạo sau đại học theo các chương trình hợp tác với nước ngoài được ký kết bởi cơ quan có thẩm quyền của Đảng và Nhà nước hoặc gia nhập nhân danh Nhà nước, Chính phủ nước Cộng hòa xã hội chủ nghĩa Việt Nam, ngoài các quy định tại khoản 1, khoản 2, khoản 3, khoản 4 Điều này còn phải đáp ứng yêu cầu khác của chương trình hợp tác.</w:t>
            </w:r>
          </w:p>
          <w:p w14:paraId="4616E104" w14:textId="77777777" w:rsidR="00C07C5B" w:rsidRPr="00335FC4" w:rsidRDefault="00C07C5B" w:rsidP="00261F68">
            <w:pPr>
              <w:widowControl w:val="0"/>
              <w:jc w:val="center"/>
              <w:rPr>
                <w:b/>
                <w:bCs/>
              </w:rPr>
            </w:pPr>
          </w:p>
        </w:tc>
        <w:tc>
          <w:tcPr>
            <w:tcW w:w="2870" w:type="dxa"/>
          </w:tcPr>
          <w:p w14:paraId="76C32B32" w14:textId="3619BA8D" w:rsidR="00C07C5B" w:rsidRPr="00335FC4" w:rsidRDefault="00C07C5B" w:rsidP="00261F68">
            <w:pPr>
              <w:widowControl w:val="0"/>
              <w:jc w:val="both"/>
            </w:pPr>
            <w:r w:rsidRPr="00335FC4">
              <w:t>Cơ bản giữ nguyên điều kiện như Nghị quyết 25/2019/NQ-HĐND, đồng thời có cập nhật quy định tại Nghị định 171/2025/NĐ-CP</w:t>
            </w:r>
          </w:p>
        </w:tc>
      </w:tr>
      <w:tr w:rsidR="00335FC4" w:rsidRPr="00335FC4" w14:paraId="2395826E" w14:textId="77777777" w:rsidTr="00A40F40">
        <w:trPr>
          <w:cantSplit/>
          <w:trHeight w:val="4819"/>
        </w:trPr>
        <w:tc>
          <w:tcPr>
            <w:tcW w:w="6776" w:type="dxa"/>
            <w:tcBorders>
              <w:bottom w:val="dotted" w:sz="4" w:space="0" w:color="auto"/>
            </w:tcBorders>
          </w:tcPr>
          <w:p w14:paraId="2A7E65B9" w14:textId="77777777" w:rsidR="00357A01" w:rsidRPr="00335FC4" w:rsidRDefault="00357A01" w:rsidP="00357A01">
            <w:pPr>
              <w:widowControl w:val="0"/>
              <w:shd w:val="solid" w:color="FFFFFF" w:fill="auto"/>
              <w:jc w:val="center"/>
            </w:pPr>
            <w:bookmarkStart w:id="9" w:name="chuong_2"/>
            <w:r w:rsidRPr="00335FC4">
              <w:rPr>
                <w:b/>
                <w:bCs/>
                <w:lang w:val="pt-BR"/>
              </w:rPr>
              <w:lastRenderedPageBreak/>
              <w:t>Chương II</w:t>
            </w:r>
            <w:bookmarkEnd w:id="9"/>
          </w:p>
          <w:p w14:paraId="4E1146D1" w14:textId="77777777" w:rsidR="00357A01" w:rsidRPr="00335FC4" w:rsidRDefault="00357A01" w:rsidP="00357A01">
            <w:pPr>
              <w:widowControl w:val="0"/>
              <w:shd w:val="solid" w:color="FFFFFF" w:fill="auto"/>
              <w:jc w:val="center"/>
            </w:pPr>
            <w:bookmarkStart w:id="10" w:name="chuong_2_name"/>
            <w:r w:rsidRPr="00335FC4">
              <w:rPr>
                <w:b/>
                <w:bCs/>
                <w:lang w:val="pt-BR"/>
              </w:rPr>
              <w:t>CHÍNH SÁCH TRỢ CẤP</w:t>
            </w:r>
            <w:bookmarkEnd w:id="10"/>
          </w:p>
          <w:p w14:paraId="07D6AD40" w14:textId="77777777" w:rsidR="00357A01" w:rsidRPr="00335FC4" w:rsidRDefault="00357A01" w:rsidP="00357A01">
            <w:pPr>
              <w:widowControl w:val="0"/>
              <w:shd w:val="solid" w:color="FFFFFF" w:fill="auto"/>
              <w:jc w:val="both"/>
            </w:pPr>
            <w:bookmarkStart w:id="11" w:name="muc_1"/>
            <w:r w:rsidRPr="00335FC4">
              <w:rPr>
                <w:b/>
                <w:bCs/>
                <w:lang w:val="pt-BR"/>
              </w:rPr>
              <w:t>Mục I. ĐÀO TẠO Ở TRONG NƯỚC</w:t>
            </w:r>
            <w:bookmarkEnd w:id="11"/>
          </w:p>
          <w:p w14:paraId="51C12440" w14:textId="77777777" w:rsidR="00357A01" w:rsidRPr="00335FC4" w:rsidRDefault="00357A01" w:rsidP="00357A01">
            <w:pPr>
              <w:widowControl w:val="0"/>
              <w:shd w:val="solid" w:color="FFFFFF" w:fill="auto"/>
              <w:jc w:val="both"/>
            </w:pPr>
            <w:bookmarkStart w:id="12" w:name="dieu_5"/>
            <w:r w:rsidRPr="00335FC4">
              <w:rPr>
                <w:b/>
                <w:bCs/>
                <w:lang w:val="pt-BR"/>
              </w:rPr>
              <w:t>Điều 5. Trợ cấp chi phí đào tạo</w:t>
            </w:r>
            <w:bookmarkEnd w:id="12"/>
          </w:p>
          <w:p w14:paraId="79988755" w14:textId="77777777" w:rsidR="00357A01" w:rsidRPr="00335FC4" w:rsidRDefault="00357A01" w:rsidP="00357A01">
            <w:pPr>
              <w:widowControl w:val="0"/>
              <w:shd w:val="solid" w:color="FFFFFF" w:fill="auto"/>
              <w:jc w:val="both"/>
            </w:pPr>
            <w:r w:rsidRPr="00335FC4">
              <w:rPr>
                <w:lang w:val="pt-BR"/>
              </w:rPr>
              <w:t>1. Trợ cấp 100% chi phí dịch vụ đào tạo theo hóa đơn của cơ sở đào tạo:</w:t>
            </w:r>
          </w:p>
          <w:p w14:paraId="6B8CD125" w14:textId="77777777" w:rsidR="00357A01" w:rsidRPr="00335FC4" w:rsidRDefault="00357A01" w:rsidP="00357A01">
            <w:pPr>
              <w:widowControl w:val="0"/>
              <w:shd w:val="solid" w:color="FFFFFF" w:fill="auto"/>
              <w:jc w:val="both"/>
            </w:pPr>
            <w:r w:rsidRPr="00335FC4">
              <w:rPr>
                <w:lang w:val="pt-BR"/>
              </w:rPr>
              <w:t>2. Khoán lệ phí thi tuyển; tiền mua tài liệu học tập, giáo trình và các khoản chi phí khác cho một khóa đào tạo như sau:</w:t>
            </w:r>
          </w:p>
          <w:p w14:paraId="14406FA8" w14:textId="77777777" w:rsidR="00357A01" w:rsidRPr="00335FC4" w:rsidRDefault="00357A01" w:rsidP="00357A01">
            <w:pPr>
              <w:widowControl w:val="0"/>
              <w:shd w:val="solid" w:color="FFFFFF" w:fill="auto"/>
              <w:jc w:val="both"/>
            </w:pPr>
            <w:r w:rsidRPr="00335FC4">
              <w:rPr>
                <w:lang w:val="pt-BR"/>
              </w:rPr>
              <w:t>a) Trung cấp lý luận chính trị: 1,5 lần mức lương cơ sở/học viên;</w:t>
            </w:r>
          </w:p>
          <w:p w14:paraId="07083336" w14:textId="77777777" w:rsidR="00357A01" w:rsidRPr="00335FC4" w:rsidRDefault="00357A01" w:rsidP="00357A01">
            <w:pPr>
              <w:widowControl w:val="0"/>
              <w:shd w:val="solid" w:color="FFFFFF" w:fill="auto"/>
              <w:jc w:val="both"/>
            </w:pPr>
            <w:r w:rsidRPr="00335FC4">
              <w:rPr>
                <w:lang w:val="pt-BR"/>
              </w:rPr>
              <w:t>b) Đại học chuyên môn, cao cấp lý luận chính trị: 2,0 lần mức lương cơ sở/học viên;</w:t>
            </w:r>
          </w:p>
          <w:p w14:paraId="60A1546A" w14:textId="77777777" w:rsidR="00357A01" w:rsidRPr="00335FC4" w:rsidRDefault="00357A01" w:rsidP="00357A01">
            <w:pPr>
              <w:widowControl w:val="0"/>
              <w:shd w:val="solid" w:color="FFFFFF" w:fill="auto"/>
              <w:jc w:val="both"/>
            </w:pPr>
            <w:r w:rsidRPr="00335FC4">
              <w:rPr>
                <w:lang w:val="pt-BR"/>
              </w:rPr>
              <w:t>c) Thạc sĩ; chuyên khoa y, dược cấp I: 3,0 lần mức lương cơ sở/học viên;</w:t>
            </w:r>
          </w:p>
          <w:p w14:paraId="28305062" w14:textId="77777777" w:rsidR="00357A01" w:rsidRPr="00335FC4" w:rsidRDefault="00357A01" w:rsidP="00357A01">
            <w:pPr>
              <w:widowControl w:val="0"/>
              <w:shd w:val="solid" w:color="FFFFFF" w:fill="auto"/>
              <w:jc w:val="both"/>
            </w:pPr>
            <w:r w:rsidRPr="00335FC4">
              <w:rPr>
                <w:lang w:val="pt-BR"/>
              </w:rPr>
              <w:t>d) Chuyên khoa y, dược cấp II: 4,0 lần mức lương cơ sở/học viên;</w:t>
            </w:r>
          </w:p>
          <w:p w14:paraId="60888C54" w14:textId="77777777" w:rsidR="00357A01" w:rsidRPr="00335FC4" w:rsidRDefault="00357A01" w:rsidP="00357A01">
            <w:pPr>
              <w:widowControl w:val="0"/>
              <w:shd w:val="solid" w:color="FFFFFF" w:fill="auto"/>
              <w:jc w:val="both"/>
            </w:pPr>
            <w:r w:rsidRPr="00335FC4">
              <w:rPr>
                <w:lang w:val="pt-BR"/>
              </w:rPr>
              <w:t>đ) Tiến sĩ: 6,0 lần mức lương cơ sở/học viên;</w:t>
            </w:r>
          </w:p>
          <w:p w14:paraId="13E9D143" w14:textId="717C4C5A" w:rsidR="00357A01" w:rsidRPr="00335FC4" w:rsidRDefault="00357A01" w:rsidP="00357A01">
            <w:pPr>
              <w:widowControl w:val="0"/>
              <w:jc w:val="both"/>
              <w:rPr>
                <w:b/>
                <w:bCs/>
              </w:rPr>
            </w:pPr>
            <w:r w:rsidRPr="00335FC4">
              <w:rPr>
                <w:lang w:val="pt-BR"/>
              </w:rPr>
              <w:t>3. Hỗ trợ nghiên cứu thực tế đối với học viên đi học trung cấp, cao cấp lý luận chính trị: 2,0 lần mức lương cơ sở/học viên/khóa học.</w:t>
            </w:r>
          </w:p>
        </w:tc>
        <w:tc>
          <w:tcPr>
            <w:tcW w:w="5528" w:type="dxa"/>
            <w:vMerge w:val="restart"/>
          </w:tcPr>
          <w:p w14:paraId="571CA7B1" w14:textId="77777777" w:rsidR="00357A01" w:rsidRPr="00335FC4" w:rsidRDefault="00357A01" w:rsidP="00261F68">
            <w:pPr>
              <w:widowControl w:val="0"/>
              <w:spacing w:after="120"/>
              <w:jc w:val="both"/>
              <w:rPr>
                <w:b/>
                <w:bCs/>
              </w:rPr>
            </w:pPr>
            <w:r w:rsidRPr="00335FC4">
              <w:rPr>
                <w:b/>
                <w:bCs/>
              </w:rPr>
              <w:t>Điều 5. Nội dung và mức hỗ trợ đào tạo, bồi dưỡng cán bộ, công chức trong nước</w:t>
            </w:r>
          </w:p>
          <w:p w14:paraId="015A285E" w14:textId="3A782289" w:rsidR="00357A01" w:rsidRPr="00335FC4" w:rsidRDefault="00357A01" w:rsidP="00261F68">
            <w:pPr>
              <w:widowControl w:val="0"/>
              <w:spacing w:after="120"/>
              <w:jc w:val="both"/>
            </w:pPr>
            <w:r w:rsidRPr="00335FC4">
              <w:t>1. Hỗ trợ 100% chi phí dịch vụ đào tạo, bồi dưỡng và các khoản chi phí bắt buộc phải tr</w:t>
            </w:r>
            <w:r w:rsidR="00BE3C16">
              <w:t>ả</w:t>
            </w:r>
            <w:r w:rsidRPr="00335FC4">
              <w:t xml:space="preserve"> cho cơ sở đào tạo: theo hóa đơn của cơ sở đào tạo nơi công chức được cử đi đào tạo, bồi dưỡng hoặc theo hợp đồng cụ thể do cấp có thẩm quyền ký kết;</w:t>
            </w:r>
          </w:p>
          <w:p w14:paraId="7ACB434F" w14:textId="77777777" w:rsidR="00357A01" w:rsidRPr="00335FC4" w:rsidRDefault="00357A01" w:rsidP="00261F68">
            <w:pPr>
              <w:widowControl w:val="0"/>
              <w:spacing w:after="120"/>
              <w:ind w:firstLine="33"/>
              <w:jc w:val="both"/>
            </w:pPr>
            <w:r w:rsidRPr="00335FC4">
              <w:t>2. Khoán lệ phí thi tuyển; tiền mua tài liệu học tập, giáo trình và các khoản chi phí khác cho một khóa đào tạo như sau:</w:t>
            </w:r>
          </w:p>
          <w:p w14:paraId="62E2317F" w14:textId="77777777" w:rsidR="00357A01" w:rsidRPr="00335FC4" w:rsidRDefault="00357A01" w:rsidP="00261F68">
            <w:pPr>
              <w:widowControl w:val="0"/>
              <w:spacing w:after="120"/>
              <w:ind w:firstLine="33"/>
              <w:jc w:val="both"/>
            </w:pPr>
            <w:r w:rsidRPr="00335FC4">
              <w:t>a) Trung cấp lý luận chính trị: 1,5 lần mức lương cơ sở/học viên;</w:t>
            </w:r>
          </w:p>
          <w:p w14:paraId="1A91CE00" w14:textId="77777777" w:rsidR="00357A01" w:rsidRPr="00335FC4" w:rsidRDefault="00357A01" w:rsidP="00261F68">
            <w:pPr>
              <w:widowControl w:val="0"/>
              <w:spacing w:after="120"/>
              <w:ind w:firstLine="33"/>
              <w:jc w:val="both"/>
            </w:pPr>
            <w:r w:rsidRPr="00335FC4">
              <w:t>b) Đại học chuyên môn, cao cấp lý luận chính trị: 2,0 lần mức lương cơ sở/học viên;</w:t>
            </w:r>
          </w:p>
          <w:p w14:paraId="669888F3" w14:textId="77777777" w:rsidR="00357A01" w:rsidRPr="00335FC4" w:rsidRDefault="00357A01" w:rsidP="00261F68">
            <w:pPr>
              <w:widowControl w:val="0"/>
              <w:spacing w:after="120"/>
              <w:ind w:firstLine="33"/>
              <w:jc w:val="both"/>
            </w:pPr>
            <w:r w:rsidRPr="00335FC4">
              <w:t>c) Thạc sĩ; chuyên khoa y, dược cấp I: 3,0 lần mức lương cơ sở/học viên;</w:t>
            </w:r>
          </w:p>
          <w:p w14:paraId="04CABFE7" w14:textId="77777777" w:rsidR="00357A01" w:rsidRPr="00335FC4" w:rsidRDefault="00357A01" w:rsidP="00261F68">
            <w:pPr>
              <w:widowControl w:val="0"/>
              <w:spacing w:after="120"/>
              <w:ind w:firstLine="33"/>
              <w:jc w:val="both"/>
            </w:pPr>
            <w:r w:rsidRPr="00335FC4">
              <w:t>d) Chuyên khoa y, dược cấp II: 4,0 lần mức lương cơ sở/học viên;</w:t>
            </w:r>
          </w:p>
          <w:p w14:paraId="7130AA6D" w14:textId="77777777" w:rsidR="00357A01" w:rsidRPr="00335FC4" w:rsidRDefault="00357A01" w:rsidP="00261F68">
            <w:pPr>
              <w:widowControl w:val="0"/>
              <w:spacing w:after="120"/>
              <w:ind w:firstLine="33"/>
              <w:jc w:val="both"/>
            </w:pPr>
            <w:r w:rsidRPr="00335FC4">
              <w:t>đ) Tiến sĩ: 6,0 lần mức lương cơ sở/học viên.</w:t>
            </w:r>
          </w:p>
          <w:p w14:paraId="73070990" w14:textId="77777777" w:rsidR="00357A01" w:rsidRPr="00335FC4" w:rsidRDefault="00357A01" w:rsidP="00261F68">
            <w:pPr>
              <w:widowControl w:val="0"/>
              <w:spacing w:after="120"/>
              <w:ind w:firstLine="33"/>
              <w:jc w:val="both"/>
            </w:pPr>
            <w:r w:rsidRPr="00335FC4">
              <w:t>e) Hỗ trợ nghiên cứu thực tế đối với học viên đi học trung cấp, cao cấp lý luận chính trị: 2,0 lần mức lương cơ sở/học viên/khóa học.</w:t>
            </w:r>
          </w:p>
          <w:p w14:paraId="7006BDCA" w14:textId="141DAC7A" w:rsidR="00357A01" w:rsidRPr="00335FC4" w:rsidRDefault="00357A01" w:rsidP="00261F68">
            <w:pPr>
              <w:widowControl w:val="0"/>
              <w:spacing w:after="120"/>
              <w:ind w:firstLine="33"/>
              <w:jc w:val="both"/>
            </w:pPr>
            <w:r w:rsidRPr="00335FC4">
              <w:t xml:space="preserve">3. Hỗ trợ hàng tháng để chi tiền ăn trong thời gian đi học tập trung, tiền thuê </w:t>
            </w:r>
            <w:r w:rsidR="00F5128F">
              <w:t>chỗ</w:t>
            </w:r>
            <w:r w:rsidRPr="00335FC4">
              <w:t xml:space="preserve"> nghỉ</w:t>
            </w:r>
          </w:p>
          <w:p w14:paraId="4DABDE8D" w14:textId="77777777" w:rsidR="00357A01" w:rsidRPr="00335FC4" w:rsidRDefault="00357A01" w:rsidP="00261F68">
            <w:pPr>
              <w:widowControl w:val="0"/>
              <w:spacing w:after="120"/>
              <w:ind w:firstLine="33"/>
              <w:jc w:val="both"/>
            </w:pPr>
            <w:r w:rsidRPr="00335FC4">
              <w:t xml:space="preserve">Học viên đi đào tạo, bồi dưỡng ở cơ sở đào tạo cách trụ sở cơ quan, đơn vị công tác từ 15 km trở lên được </w:t>
            </w:r>
            <w:r w:rsidRPr="00335FC4">
              <w:lastRenderedPageBreak/>
              <w:t>trợ cấp hàng tháng như sau:</w:t>
            </w:r>
          </w:p>
          <w:p w14:paraId="55859DEA" w14:textId="77777777" w:rsidR="00357A01" w:rsidRPr="00335FC4" w:rsidRDefault="00357A01" w:rsidP="00261F68">
            <w:pPr>
              <w:widowControl w:val="0"/>
              <w:spacing w:after="120"/>
              <w:ind w:firstLine="33"/>
              <w:jc w:val="both"/>
            </w:pPr>
            <w:r w:rsidRPr="00335FC4">
              <w:t xml:space="preserve"> a) Học chuyên môn trình độ sau đại học: Ngoài tỉnh: 1,2 lần mức lương cơ sở (nếu học tại Hà Nội, Thành phố Hồ Chí Minh); 1,0 lần mức lương cơ sở (nếu học tại các tỉnh, thành phố còn lại); Trong tỉnh: 0,7 lần mức lương cơ sở.</w:t>
            </w:r>
          </w:p>
          <w:p w14:paraId="0207F9EC" w14:textId="77777777" w:rsidR="00357A01" w:rsidRPr="00335FC4" w:rsidRDefault="00357A01" w:rsidP="00261F68">
            <w:pPr>
              <w:widowControl w:val="0"/>
              <w:spacing w:after="120"/>
              <w:ind w:firstLine="33"/>
              <w:jc w:val="both"/>
            </w:pPr>
            <w:r w:rsidRPr="00335FC4">
              <w:t>b) Học chuyên môn trình độ đại học: Ngoài tỉnh: 1,0 lần mức lương cơ sở (nếu học tại Hà Nội, Thành phố Hồ Chí Minh); 0,8 lần mức lương cơ sở (nếu học tại các tỉnh, thành phố còn lại);  Trong tỉnh: 0,5 lần mức lương cơ sở.</w:t>
            </w:r>
          </w:p>
          <w:p w14:paraId="070B7308" w14:textId="38084E4F" w:rsidR="00357A01" w:rsidRPr="00335FC4" w:rsidRDefault="00357A01" w:rsidP="00261F68">
            <w:pPr>
              <w:widowControl w:val="0"/>
              <w:spacing w:after="120"/>
              <w:ind w:firstLine="33"/>
              <w:jc w:val="both"/>
            </w:pPr>
            <w:r w:rsidRPr="00335FC4">
              <w:t xml:space="preserve">c) Học lý luận chính trị trình độ trung cấp, cao cấp tại Trường Chính trị tỉnh </w:t>
            </w:r>
            <w:r w:rsidR="00900D45">
              <w:t>Gia Lai</w:t>
            </w:r>
            <w:r w:rsidRPr="00335FC4">
              <w:t>: 0,5 lần mức lương cơ sở.</w:t>
            </w:r>
          </w:p>
          <w:p w14:paraId="5D48B866" w14:textId="77777777" w:rsidR="00357A01" w:rsidRPr="00335FC4" w:rsidRDefault="00357A01" w:rsidP="00261F68">
            <w:pPr>
              <w:widowControl w:val="0"/>
              <w:spacing w:after="120"/>
              <w:ind w:firstLine="33"/>
              <w:jc w:val="both"/>
            </w:pPr>
            <w:r w:rsidRPr="00335FC4">
              <w:t>4. Ngoài mức trợ cấp hằng tháng theo quy định tại Khoản 3 Điều này, thực hiện hỗ trợ thêm cho các đối tượng:</w:t>
            </w:r>
          </w:p>
          <w:p w14:paraId="49D6FE41" w14:textId="77777777" w:rsidR="00357A01" w:rsidRPr="00335FC4" w:rsidRDefault="00357A01" w:rsidP="00261F68">
            <w:pPr>
              <w:widowControl w:val="0"/>
              <w:spacing w:after="120"/>
              <w:ind w:firstLine="33"/>
              <w:jc w:val="both"/>
            </w:pPr>
            <w:r w:rsidRPr="00335FC4">
              <w:t>a) Học viên là người dân tộc thiểu số hoặc là nữ được hưởng hệ số 0,2 lần mức lương cơ sở;</w:t>
            </w:r>
          </w:p>
          <w:p w14:paraId="57E4F308" w14:textId="77777777" w:rsidR="00357A01" w:rsidRPr="00335FC4" w:rsidRDefault="00357A01" w:rsidP="00261F68">
            <w:pPr>
              <w:widowControl w:val="0"/>
              <w:spacing w:after="120"/>
              <w:ind w:firstLine="33"/>
              <w:jc w:val="both"/>
            </w:pPr>
            <w:r w:rsidRPr="00335FC4">
              <w:t>b) Học viên là nữ đang nuôi con nhỏ dưới 36 tháng được hưởng hệ số 0,3 lần mức lương cơ sở.</w:t>
            </w:r>
          </w:p>
          <w:p w14:paraId="0C0DAFFD" w14:textId="7A1CD176" w:rsidR="00357A01" w:rsidRPr="00335FC4" w:rsidRDefault="00357A01" w:rsidP="00357A01">
            <w:pPr>
              <w:widowControl w:val="0"/>
              <w:spacing w:after="120"/>
              <w:ind w:firstLine="33"/>
              <w:jc w:val="both"/>
              <w:rPr>
                <w:lang w:val="vi-VN"/>
              </w:rPr>
            </w:pPr>
            <w:r w:rsidRPr="00335FC4">
              <w:t>Thời gian tính hưởng hỗ trợ hàng tháng là thời gian thực tế học viên đi học tập trung tính cộng dồn theo tháng, mỗi tháng 22 ngày và không vượt quá thời gian quy định của chương trình đào tạo do cơ sở đào tạo thông báo.</w:t>
            </w:r>
          </w:p>
        </w:tc>
        <w:tc>
          <w:tcPr>
            <w:tcW w:w="2870" w:type="dxa"/>
            <w:vMerge w:val="restart"/>
          </w:tcPr>
          <w:p w14:paraId="58CA9DDA" w14:textId="77777777" w:rsidR="00357A01" w:rsidRPr="00CA28E0" w:rsidRDefault="00357A01" w:rsidP="00261F68">
            <w:pPr>
              <w:widowControl w:val="0"/>
              <w:jc w:val="both"/>
              <w:rPr>
                <w:i/>
                <w:iCs/>
              </w:rPr>
            </w:pPr>
            <w:r w:rsidRPr="00CA28E0">
              <w:rPr>
                <w:i/>
                <w:iCs/>
              </w:rPr>
              <w:lastRenderedPageBreak/>
              <w:t>- Mức hỗ trợ cơ bản giữ nguyên như Nghị quyết 25/2019/NQ-HĐND.</w:t>
            </w:r>
          </w:p>
          <w:p w14:paraId="10058339" w14:textId="77777777" w:rsidR="00357A01" w:rsidRPr="00CA28E0" w:rsidRDefault="00357A01" w:rsidP="00261F68">
            <w:pPr>
              <w:widowControl w:val="0"/>
              <w:jc w:val="both"/>
              <w:rPr>
                <w:i/>
                <w:iCs/>
              </w:rPr>
            </w:pPr>
            <w:r w:rsidRPr="00CA28E0">
              <w:rPr>
                <w:i/>
                <w:iCs/>
              </w:rPr>
              <w:t>- Viết gọn Điều 5, 6, 7 lại thành thành 01 Điều để thống nhất các các đề mục chi theo đúng quy định tại Thông tư 100/2025/TT-BTC.</w:t>
            </w:r>
          </w:p>
          <w:p w14:paraId="7642DD22" w14:textId="77777777" w:rsidR="00CA28E0" w:rsidRPr="00CA28E0" w:rsidRDefault="00CA28E0" w:rsidP="00CA28E0">
            <w:pPr>
              <w:spacing w:after="120"/>
              <w:jc w:val="both"/>
              <w:rPr>
                <w:i/>
                <w:iCs/>
                <w:spacing w:val="-4"/>
              </w:rPr>
            </w:pPr>
            <w:r w:rsidRPr="00CA28E0">
              <w:rPr>
                <w:b/>
                <w:bCs/>
                <w:i/>
                <w:iCs/>
              </w:rPr>
              <w:t>- Nội dung đề xuất mới: “</w:t>
            </w:r>
            <w:r w:rsidRPr="00CA28E0">
              <w:rPr>
                <w:b/>
                <w:bCs/>
                <w:i/>
                <w:iCs/>
                <w:spacing w:val="-4"/>
              </w:rPr>
              <w:t>Điều 6. Hỗ trợ khi tốt nghiệp sau đại học đối với công chức đi học tự túc</w:t>
            </w:r>
          </w:p>
          <w:p w14:paraId="7E2A56C3" w14:textId="77777777" w:rsidR="00CA28E0" w:rsidRPr="00CA28E0" w:rsidRDefault="00CA28E0" w:rsidP="00CA28E0">
            <w:pPr>
              <w:spacing w:after="120"/>
              <w:jc w:val="both"/>
              <w:rPr>
                <w:i/>
                <w:iCs/>
              </w:rPr>
            </w:pPr>
            <w:r w:rsidRPr="00CA28E0">
              <w:rPr>
                <w:i/>
                <w:iCs/>
              </w:rPr>
              <w:t>Học viên tự đi học để nâng cao trình độ, sau khi hoàn thành khóa học, được cấp bằng tiến sĩ, thạc sĩ, bác sĩ chuyên khoa cấp I, cấp II, dược sĩ chuyên khoa cấp I, cấp II được hỗ trợ một lần như sau:</w:t>
            </w:r>
          </w:p>
          <w:p w14:paraId="394F68F5" w14:textId="77777777" w:rsidR="00CA28E0" w:rsidRPr="00CA28E0" w:rsidRDefault="00CA28E0" w:rsidP="00CA28E0">
            <w:pPr>
              <w:spacing w:after="120"/>
              <w:jc w:val="both"/>
              <w:rPr>
                <w:i/>
                <w:iCs/>
              </w:rPr>
            </w:pPr>
            <w:r w:rsidRPr="00CA28E0">
              <w:rPr>
                <w:i/>
                <w:iCs/>
              </w:rPr>
              <w:t>1. Tiến sĩ: 80.000.000 đồng/người.</w:t>
            </w:r>
          </w:p>
          <w:p w14:paraId="367A4B0F" w14:textId="77777777" w:rsidR="00CA28E0" w:rsidRPr="00CA28E0" w:rsidRDefault="00CA28E0" w:rsidP="00CA28E0">
            <w:pPr>
              <w:spacing w:after="120"/>
              <w:jc w:val="both"/>
              <w:rPr>
                <w:i/>
                <w:iCs/>
              </w:rPr>
            </w:pPr>
            <w:r w:rsidRPr="00CA28E0">
              <w:rPr>
                <w:i/>
                <w:iCs/>
              </w:rPr>
              <w:t>2. Chuyên khoa cấp II: 60.000.000 đồng/người.</w:t>
            </w:r>
          </w:p>
          <w:p w14:paraId="0C9E3FF1" w14:textId="77777777" w:rsidR="00CA28E0" w:rsidRPr="00CA28E0" w:rsidRDefault="00CA28E0" w:rsidP="00CA28E0">
            <w:pPr>
              <w:spacing w:after="120"/>
              <w:jc w:val="both"/>
              <w:rPr>
                <w:i/>
                <w:iCs/>
              </w:rPr>
            </w:pPr>
            <w:r w:rsidRPr="00CA28E0">
              <w:rPr>
                <w:i/>
                <w:iCs/>
              </w:rPr>
              <w:t>3. Thạc sĩ: 30.000.000 đồng/người.</w:t>
            </w:r>
          </w:p>
          <w:p w14:paraId="04253CAE" w14:textId="2E07AA96" w:rsidR="00CA28E0" w:rsidRPr="00CA28E0" w:rsidRDefault="00CA28E0" w:rsidP="00CA28E0">
            <w:pPr>
              <w:widowControl w:val="0"/>
              <w:jc w:val="both"/>
              <w:rPr>
                <w:b/>
                <w:bCs/>
                <w:i/>
                <w:iCs/>
              </w:rPr>
            </w:pPr>
            <w:r w:rsidRPr="00CA28E0">
              <w:rPr>
                <w:i/>
                <w:iCs/>
              </w:rPr>
              <w:t>4. Chuyên khoa cấp I: 20.000.000 đồng/người.</w:t>
            </w:r>
          </w:p>
        </w:tc>
      </w:tr>
      <w:tr w:rsidR="00335FC4" w:rsidRPr="00335FC4" w14:paraId="5C97AC16" w14:textId="77777777" w:rsidTr="00A40F40">
        <w:trPr>
          <w:cantSplit/>
        </w:trPr>
        <w:tc>
          <w:tcPr>
            <w:tcW w:w="6776" w:type="dxa"/>
            <w:tcBorders>
              <w:top w:val="dotted" w:sz="4" w:space="0" w:color="auto"/>
            </w:tcBorders>
          </w:tcPr>
          <w:p w14:paraId="6A90A70C" w14:textId="77777777" w:rsidR="00357A01" w:rsidRPr="00335FC4" w:rsidRDefault="00357A01" w:rsidP="00261F68">
            <w:pPr>
              <w:widowControl w:val="0"/>
              <w:shd w:val="solid" w:color="FFFFFF" w:fill="auto"/>
              <w:spacing w:after="120"/>
              <w:jc w:val="both"/>
            </w:pPr>
            <w:bookmarkStart w:id="13" w:name="dieu_6"/>
            <w:r w:rsidRPr="00335FC4">
              <w:rPr>
                <w:b/>
                <w:bCs/>
                <w:lang w:val="pt-BR"/>
              </w:rPr>
              <w:t>Điều 6. Trợ cấp chi phí đi lại</w:t>
            </w:r>
            <w:bookmarkEnd w:id="13"/>
          </w:p>
          <w:p w14:paraId="4A6576E3" w14:textId="77777777" w:rsidR="00357A01" w:rsidRPr="00335FC4" w:rsidRDefault="00357A01" w:rsidP="00261F68">
            <w:pPr>
              <w:widowControl w:val="0"/>
              <w:shd w:val="solid" w:color="FFFFFF" w:fill="auto"/>
              <w:spacing w:after="120"/>
              <w:jc w:val="both"/>
            </w:pPr>
            <w:r w:rsidRPr="00335FC4">
              <w:rPr>
                <w:lang w:val="pt-BR"/>
              </w:rPr>
              <w:t>1. Học viên đi đào tạo ở cơ sở đào tạo cách trụ sở cơ quan, đơn vị công tác từ 15 km trở lên, được thanh toán tiền thuê phương tiện đi lại hoặc hỗ trợ xăng xe từ cơ quan, đơn vị công tác đến nơi học tập theo chế độ công tác phí hiện hành.</w:t>
            </w:r>
          </w:p>
          <w:p w14:paraId="318EC226" w14:textId="77777777" w:rsidR="00357A01" w:rsidRPr="00335FC4" w:rsidRDefault="00357A01" w:rsidP="00261F68">
            <w:pPr>
              <w:widowControl w:val="0"/>
              <w:shd w:val="solid" w:color="FFFFFF" w:fill="auto"/>
              <w:spacing w:after="120"/>
              <w:jc w:val="both"/>
            </w:pPr>
            <w:r w:rsidRPr="00335FC4">
              <w:rPr>
                <w:lang w:val="pt-BR"/>
              </w:rPr>
              <w:t>2. Số lượt thanh toán</w:t>
            </w:r>
          </w:p>
          <w:p w14:paraId="4CBB03EB" w14:textId="77777777" w:rsidR="00357A01" w:rsidRPr="00335FC4" w:rsidRDefault="00357A01" w:rsidP="00261F68">
            <w:pPr>
              <w:widowControl w:val="0"/>
              <w:shd w:val="solid" w:color="FFFFFF" w:fill="auto"/>
              <w:spacing w:after="120"/>
              <w:jc w:val="both"/>
            </w:pPr>
            <w:r w:rsidRPr="00335FC4">
              <w:rPr>
                <w:lang w:val="pt-BR"/>
              </w:rPr>
              <w:t>a) Đào tạo tập trung dài hạn: Một lượt đi và về đầu khóa học và kết thúc khóa học; nghỉ hè; nghỉ tết nguyên đán hàng năm theo quy định;</w:t>
            </w:r>
          </w:p>
          <w:p w14:paraId="66F415EB" w14:textId="2E9E48F1" w:rsidR="00357A01" w:rsidRPr="00335FC4" w:rsidRDefault="00357A01" w:rsidP="00261F68">
            <w:pPr>
              <w:widowControl w:val="0"/>
              <w:shd w:val="solid" w:color="FFFFFF" w:fill="auto"/>
              <w:spacing w:after="120"/>
              <w:jc w:val="both"/>
            </w:pPr>
            <w:r w:rsidRPr="00335FC4">
              <w:rPr>
                <w:lang w:val="pt-BR"/>
              </w:rPr>
              <w:t>b) Đào tạo tập trung nhiều đợt, mỗi đợt từ 01 tháng trở lên: Một lượt đi và về cho mỗi đợt học.</w:t>
            </w:r>
          </w:p>
        </w:tc>
        <w:tc>
          <w:tcPr>
            <w:tcW w:w="5528" w:type="dxa"/>
            <w:vMerge/>
          </w:tcPr>
          <w:p w14:paraId="3CF9D966" w14:textId="77777777" w:rsidR="00357A01" w:rsidRPr="00335FC4" w:rsidRDefault="00357A01" w:rsidP="00261F68">
            <w:pPr>
              <w:widowControl w:val="0"/>
              <w:spacing w:after="120"/>
              <w:ind w:firstLine="152"/>
              <w:jc w:val="both"/>
            </w:pPr>
          </w:p>
        </w:tc>
        <w:tc>
          <w:tcPr>
            <w:tcW w:w="2870" w:type="dxa"/>
            <w:vMerge/>
          </w:tcPr>
          <w:p w14:paraId="5815EFA7" w14:textId="77777777" w:rsidR="00357A01" w:rsidRPr="00335FC4" w:rsidRDefault="00357A01" w:rsidP="00261F68">
            <w:pPr>
              <w:pStyle w:val="NormalWeb"/>
              <w:widowControl w:val="0"/>
              <w:autoSpaceDE w:val="0"/>
              <w:autoSpaceDN w:val="0"/>
              <w:spacing w:before="0" w:beforeAutospacing="0" w:after="120" w:afterAutospacing="0"/>
              <w:ind w:firstLine="274"/>
              <w:jc w:val="both"/>
            </w:pPr>
          </w:p>
        </w:tc>
      </w:tr>
      <w:tr w:rsidR="00335FC4" w:rsidRPr="00335FC4" w14:paraId="0CC54B5F" w14:textId="77777777" w:rsidTr="00A40F40">
        <w:trPr>
          <w:cantSplit/>
        </w:trPr>
        <w:tc>
          <w:tcPr>
            <w:tcW w:w="6776" w:type="dxa"/>
          </w:tcPr>
          <w:p w14:paraId="63538A6E" w14:textId="77777777" w:rsidR="00C07C5B" w:rsidRPr="00335FC4" w:rsidRDefault="00C07C5B" w:rsidP="00261F68">
            <w:pPr>
              <w:widowControl w:val="0"/>
              <w:shd w:val="solid" w:color="FFFFFF" w:fill="auto"/>
              <w:spacing w:after="120"/>
              <w:jc w:val="both"/>
            </w:pPr>
            <w:bookmarkStart w:id="14" w:name="dieu_7"/>
            <w:r w:rsidRPr="00335FC4">
              <w:rPr>
                <w:b/>
                <w:bCs/>
                <w:lang w:val="pt-BR"/>
              </w:rPr>
              <w:lastRenderedPageBreak/>
              <w:t>Điều 7. Trợ cấp hàng tháng</w:t>
            </w:r>
            <w:bookmarkEnd w:id="14"/>
          </w:p>
          <w:p w14:paraId="16F2927A" w14:textId="77777777" w:rsidR="00C07C5B" w:rsidRPr="00335FC4" w:rsidRDefault="00C07C5B" w:rsidP="00261F68">
            <w:pPr>
              <w:widowControl w:val="0"/>
              <w:shd w:val="solid" w:color="FFFFFF" w:fill="auto"/>
              <w:spacing w:after="120"/>
              <w:jc w:val="both"/>
            </w:pPr>
            <w:r w:rsidRPr="00335FC4">
              <w:rPr>
                <w:lang w:val="pt-BR"/>
              </w:rPr>
              <w:t>1. Học viên đi đào tạo ở cơ sở đào tạo cách trụ sở cơ quan, đơn vị công tác từ 15 km trở lên được trợ cấp hàng tháng như sau:</w:t>
            </w:r>
          </w:p>
          <w:p w14:paraId="72EA171A" w14:textId="77777777" w:rsidR="00C07C5B" w:rsidRPr="00335FC4" w:rsidRDefault="00C07C5B" w:rsidP="00261F68">
            <w:pPr>
              <w:widowControl w:val="0"/>
              <w:shd w:val="solid" w:color="FFFFFF" w:fill="auto"/>
              <w:spacing w:after="120"/>
              <w:jc w:val="both"/>
            </w:pPr>
            <w:r w:rsidRPr="00335FC4">
              <w:rPr>
                <w:lang w:val="pt-BR"/>
              </w:rPr>
              <w:t>a) Học chuyên môn trình độ sau đại học:</w:t>
            </w:r>
          </w:p>
          <w:p w14:paraId="198536E9" w14:textId="77777777" w:rsidR="00C07C5B" w:rsidRPr="00335FC4" w:rsidRDefault="00C07C5B" w:rsidP="00261F68">
            <w:pPr>
              <w:widowControl w:val="0"/>
              <w:shd w:val="solid" w:color="FFFFFF" w:fill="auto"/>
              <w:spacing w:after="120"/>
              <w:jc w:val="both"/>
            </w:pPr>
            <w:r w:rsidRPr="00335FC4">
              <w:rPr>
                <w:lang w:val="pt-BR"/>
              </w:rPr>
              <w:t>- Ngoài tỉnh: 1,2 lần mức lương cơ sở (nếu học tại Hà Nội, Thành phố Hồ Chí Minh); 1,0 lần mức lương cơ sở (nếu học tại các tỉnh, thành phố còn lại);</w:t>
            </w:r>
          </w:p>
          <w:p w14:paraId="269842DE" w14:textId="77777777" w:rsidR="00C07C5B" w:rsidRPr="00335FC4" w:rsidRDefault="00C07C5B" w:rsidP="00261F68">
            <w:pPr>
              <w:widowControl w:val="0"/>
              <w:shd w:val="solid" w:color="FFFFFF" w:fill="auto"/>
              <w:spacing w:after="120"/>
              <w:jc w:val="both"/>
            </w:pPr>
            <w:r w:rsidRPr="00335FC4">
              <w:rPr>
                <w:lang w:val="pt-BR"/>
              </w:rPr>
              <w:t>- Trong tỉnh: 0,7 lần mức lương cơ sở.</w:t>
            </w:r>
          </w:p>
          <w:p w14:paraId="3A49F74B" w14:textId="77777777" w:rsidR="00C07C5B" w:rsidRPr="00335FC4" w:rsidRDefault="00C07C5B" w:rsidP="00261F68">
            <w:pPr>
              <w:widowControl w:val="0"/>
              <w:shd w:val="solid" w:color="FFFFFF" w:fill="auto"/>
              <w:spacing w:after="120"/>
              <w:jc w:val="both"/>
            </w:pPr>
            <w:r w:rsidRPr="00335FC4">
              <w:rPr>
                <w:lang w:val="pt-BR"/>
              </w:rPr>
              <w:t>b) Học chuyên môn trình độ đại học:</w:t>
            </w:r>
          </w:p>
          <w:p w14:paraId="42A0DE60" w14:textId="77777777" w:rsidR="00C07C5B" w:rsidRPr="00335FC4" w:rsidRDefault="00C07C5B" w:rsidP="00261F68">
            <w:pPr>
              <w:widowControl w:val="0"/>
              <w:shd w:val="solid" w:color="FFFFFF" w:fill="auto"/>
              <w:spacing w:after="120"/>
              <w:jc w:val="both"/>
            </w:pPr>
            <w:r w:rsidRPr="00335FC4">
              <w:rPr>
                <w:lang w:val="pt-BR"/>
              </w:rPr>
              <w:t>- Ngoài tỉnh: 1,0 lần mức lương cơ sở (nếu học tại Hà Nội, Thành phố Hồ Chí Minh); 0,8 lần mức lương cơ sở (nếu học tại các tỉnh, thành phố còn lại);</w:t>
            </w:r>
          </w:p>
          <w:p w14:paraId="307FD275" w14:textId="77777777" w:rsidR="00C07C5B" w:rsidRPr="00335FC4" w:rsidRDefault="00C07C5B" w:rsidP="00261F68">
            <w:pPr>
              <w:widowControl w:val="0"/>
              <w:shd w:val="solid" w:color="FFFFFF" w:fill="auto"/>
              <w:spacing w:after="120"/>
              <w:jc w:val="both"/>
            </w:pPr>
            <w:r w:rsidRPr="00335FC4">
              <w:rPr>
                <w:lang w:val="pt-BR"/>
              </w:rPr>
              <w:t>- Trong tỉnh: 0,5 lần mức lương cơ sở.</w:t>
            </w:r>
          </w:p>
          <w:p w14:paraId="32B99438" w14:textId="77777777" w:rsidR="00C07C5B" w:rsidRPr="00335FC4" w:rsidRDefault="00C07C5B" w:rsidP="00261F68">
            <w:pPr>
              <w:widowControl w:val="0"/>
              <w:shd w:val="solid" w:color="FFFFFF" w:fill="auto"/>
              <w:spacing w:after="120"/>
              <w:jc w:val="both"/>
            </w:pPr>
            <w:r w:rsidRPr="00335FC4">
              <w:rPr>
                <w:lang w:val="pt-BR"/>
              </w:rPr>
              <w:t>c) Học lý luận chính trị trình độ trung cấp, cao cấp tại Trường Chính trị tỉnh Bình Định: 0,5 lần mức lương cơ sở.</w:t>
            </w:r>
          </w:p>
          <w:p w14:paraId="1477E749" w14:textId="77777777" w:rsidR="00C07C5B" w:rsidRPr="00335FC4" w:rsidRDefault="00C07C5B" w:rsidP="00261F68">
            <w:pPr>
              <w:widowControl w:val="0"/>
              <w:shd w:val="solid" w:color="FFFFFF" w:fill="auto"/>
              <w:spacing w:after="120"/>
              <w:jc w:val="both"/>
            </w:pPr>
            <w:r w:rsidRPr="00335FC4">
              <w:rPr>
                <w:lang w:val="pt-BR"/>
              </w:rPr>
              <w:t>2. Ngoài mức trợ cấp hàng tháng theo quy định tại Khoản 1 Điều này, h</w:t>
            </w:r>
            <w:r w:rsidRPr="00335FC4">
              <w:rPr>
                <w:lang w:val="vi-VN"/>
              </w:rPr>
              <w:t>ọc viên </w:t>
            </w:r>
            <w:r w:rsidRPr="00335FC4">
              <w:rPr>
                <w:lang w:val="pt-BR"/>
              </w:rPr>
              <w:t>là người dân tộc thiểu số hoặc là nữ được hưởng trợ cấp bổ sung hệ số 0,2 lần mức lương cơ sở; nếu là nữ đang nuôi con nhỏ dưới 36 tháng, hệ số 0,3 lần mức lương cơ sở.</w:t>
            </w:r>
          </w:p>
          <w:p w14:paraId="3C07E741" w14:textId="2E8D8668" w:rsidR="00312C12" w:rsidRPr="005D20BE" w:rsidRDefault="00C07C5B" w:rsidP="00261F68">
            <w:pPr>
              <w:widowControl w:val="0"/>
              <w:shd w:val="solid" w:color="FFFFFF" w:fill="auto"/>
              <w:spacing w:after="120"/>
              <w:jc w:val="both"/>
              <w:rPr>
                <w:lang w:val="nl-NL"/>
              </w:rPr>
            </w:pPr>
            <w:r w:rsidRPr="00335FC4">
              <w:rPr>
                <w:lang w:val="pt-BR"/>
              </w:rPr>
              <w:t>3. </w:t>
            </w:r>
            <w:r w:rsidRPr="00335FC4">
              <w:rPr>
                <w:lang w:val="nl-NL"/>
              </w:rPr>
              <w:t xml:space="preserve">Thời gian tính hưởng trợ cấp hàng tháng là thời gian thực tế học viên đi học tập tập trung </w:t>
            </w:r>
            <w:r w:rsidRPr="00335FC4">
              <w:rPr>
                <w:b/>
                <w:bCs/>
                <w:i/>
                <w:iCs/>
                <w:lang w:val="nl-NL"/>
              </w:rPr>
              <w:t>tính cộng dồn theo tháng, mỗi tháng 22 ngày</w:t>
            </w:r>
            <w:r w:rsidRPr="00335FC4">
              <w:rPr>
                <w:lang w:val="nl-NL"/>
              </w:rPr>
              <w:t xml:space="preserve"> và không vượt quá thời gian quy định của chương trình đào tạo do cơ sở đào tạo thông báo.</w:t>
            </w:r>
          </w:p>
        </w:tc>
        <w:tc>
          <w:tcPr>
            <w:tcW w:w="5528" w:type="dxa"/>
            <w:vMerge/>
          </w:tcPr>
          <w:p w14:paraId="163F77E4" w14:textId="77777777" w:rsidR="00C07C5B" w:rsidRPr="00335FC4" w:rsidRDefault="00C07C5B" w:rsidP="00261F68">
            <w:pPr>
              <w:widowControl w:val="0"/>
              <w:spacing w:after="120"/>
              <w:ind w:firstLine="152"/>
              <w:jc w:val="both"/>
            </w:pPr>
          </w:p>
        </w:tc>
        <w:tc>
          <w:tcPr>
            <w:tcW w:w="2870" w:type="dxa"/>
          </w:tcPr>
          <w:p w14:paraId="1BE7200D" w14:textId="0315142F" w:rsidR="00C07C5B" w:rsidRPr="00335FC4" w:rsidRDefault="00CA28E0" w:rsidP="00261F68">
            <w:pPr>
              <w:pStyle w:val="NormalWeb"/>
              <w:widowControl w:val="0"/>
              <w:autoSpaceDE w:val="0"/>
              <w:autoSpaceDN w:val="0"/>
              <w:spacing w:before="0" w:beforeAutospacing="0" w:after="120" w:afterAutospacing="0"/>
              <w:ind w:firstLine="274"/>
              <w:jc w:val="both"/>
            </w:pPr>
            <w:r>
              <w:t xml:space="preserve">Lý do đề xuất mới: Để khuyến khích cán bộ, công chức, viên chức tự học để nâng cao trình độ; mức kinh phí đề xuất hỗ trợ </w:t>
            </w:r>
            <w:r w:rsidR="009318DC">
              <w:t xml:space="preserve">nêu trên được </w:t>
            </w:r>
            <w:r>
              <w:t>lấy theo mức hỗ trợ một lần sau tốt nghiệp đã được quy định tại Nghị quyết số 25/2019/NQ-HĐND trước khi bị bãi bỏ</w:t>
            </w:r>
            <w:r w:rsidR="009318DC">
              <w:t xml:space="preserve"> </w:t>
            </w:r>
            <w:r>
              <w:t>năm 2023.</w:t>
            </w:r>
          </w:p>
        </w:tc>
      </w:tr>
      <w:tr w:rsidR="00335FC4" w:rsidRPr="00335FC4" w14:paraId="75C2591A" w14:textId="77777777" w:rsidTr="00A40F40">
        <w:trPr>
          <w:cantSplit/>
        </w:trPr>
        <w:tc>
          <w:tcPr>
            <w:tcW w:w="6776" w:type="dxa"/>
            <w:tcBorders>
              <w:bottom w:val="single" w:sz="4" w:space="0" w:color="auto"/>
            </w:tcBorders>
          </w:tcPr>
          <w:p w14:paraId="3D1BA7C4" w14:textId="77777777" w:rsidR="00357A01" w:rsidRPr="00335FC4" w:rsidRDefault="00357A01" w:rsidP="00261F68">
            <w:pPr>
              <w:widowControl w:val="0"/>
              <w:shd w:val="solid" w:color="FFFFFF" w:fill="auto"/>
              <w:spacing w:after="120"/>
              <w:jc w:val="both"/>
              <w:rPr>
                <w:b/>
                <w:bCs/>
                <w:lang w:val="pt-BR"/>
              </w:rPr>
            </w:pPr>
          </w:p>
        </w:tc>
        <w:tc>
          <w:tcPr>
            <w:tcW w:w="5528" w:type="dxa"/>
          </w:tcPr>
          <w:p w14:paraId="193AA802" w14:textId="77777777" w:rsidR="00357A01" w:rsidRPr="00335FC4" w:rsidRDefault="00357A01" w:rsidP="00357A01">
            <w:pPr>
              <w:widowControl w:val="0"/>
              <w:spacing w:after="120"/>
              <w:ind w:firstLine="33"/>
              <w:jc w:val="both"/>
            </w:pPr>
            <w:r w:rsidRPr="00335FC4">
              <w:t>5. Trợ cấp chi phí đi lại</w:t>
            </w:r>
          </w:p>
          <w:p w14:paraId="7A4C24E6" w14:textId="77777777" w:rsidR="00357A01" w:rsidRPr="00335FC4" w:rsidRDefault="00357A01" w:rsidP="00357A01">
            <w:pPr>
              <w:widowControl w:val="0"/>
              <w:spacing w:after="120"/>
              <w:ind w:firstLine="33"/>
              <w:jc w:val="both"/>
            </w:pPr>
            <w:r w:rsidRPr="00335FC4">
              <w:t>Học viên đi đào tạo ở cơ sở đào tạo cách trụ sở cơ quan, đơn vị công tác từ 15 km trở lên được thanh toán tiền thuê phương tiện đi lại hoặc hỗ trợ xăng xe từ cơ quan, đơn vị công tác đến nơi học tập theo chế độ công tác phí hiện hành. Số lượt thanh toán:</w:t>
            </w:r>
          </w:p>
          <w:p w14:paraId="68E38824" w14:textId="77777777" w:rsidR="00357A01" w:rsidRPr="00335FC4" w:rsidRDefault="00357A01" w:rsidP="00357A01">
            <w:pPr>
              <w:widowControl w:val="0"/>
              <w:spacing w:after="120"/>
              <w:ind w:firstLine="33"/>
              <w:jc w:val="both"/>
            </w:pPr>
            <w:r w:rsidRPr="00335FC4">
              <w:t>a) Đào tạo tập trung dài hạn: Một lượt đi và về vào đầu khóa học và kết thúc khóa học; nghỉ hè; nghỉ tết nguyên đán hằng năm theo quy định;</w:t>
            </w:r>
          </w:p>
          <w:p w14:paraId="78EEDFFB" w14:textId="77777777" w:rsidR="00357A01" w:rsidRDefault="00357A01" w:rsidP="00357A01">
            <w:pPr>
              <w:widowControl w:val="0"/>
              <w:spacing w:after="120"/>
              <w:ind w:firstLine="33"/>
              <w:jc w:val="both"/>
            </w:pPr>
            <w:r w:rsidRPr="00335FC4">
              <w:t xml:space="preserve"> b) Đào tạo tập trung nhiều đợt, mỗi đợt từ 01 tháng trở lên: Một lượt đi và về cho mỗi đợt học.</w:t>
            </w:r>
          </w:p>
          <w:p w14:paraId="7F139033" w14:textId="77777777" w:rsidR="002840E8" w:rsidRPr="002840E8" w:rsidRDefault="002840E8" w:rsidP="002840E8">
            <w:pPr>
              <w:spacing w:after="120"/>
              <w:jc w:val="both"/>
              <w:rPr>
                <w:spacing w:val="-4"/>
              </w:rPr>
            </w:pPr>
            <w:bookmarkStart w:id="15" w:name="dieu_8"/>
            <w:r w:rsidRPr="002840E8">
              <w:rPr>
                <w:b/>
                <w:bCs/>
                <w:spacing w:val="-4"/>
              </w:rPr>
              <w:t>Điều 6. Hỗ trợ khi tốt nghiệp sau đại học</w:t>
            </w:r>
            <w:bookmarkEnd w:id="15"/>
            <w:r w:rsidRPr="002840E8">
              <w:rPr>
                <w:b/>
                <w:bCs/>
                <w:spacing w:val="-4"/>
              </w:rPr>
              <w:t xml:space="preserve"> đối với công chức đi học tự túc</w:t>
            </w:r>
          </w:p>
          <w:p w14:paraId="2C8FE3A6" w14:textId="77777777" w:rsidR="002840E8" w:rsidRPr="002840E8" w:rsidRDefault="002840E8" w:rsidP="002840E8">
            <w:pPr>
              <w:spacing w:after="120"/>
              <w:jc w:val="both"/>
            </w:pPr>
            <w:r w:rsidRPr="002840E8">
              <w:t>Học viên tự đi học để nâng cao trình độ, sau khi hoàn thành khóa học, được cấp bằng tiến sĩ, thạc sĩ, bác sĩ chuyên khoa cấp I, cấp II, dược sĩ chuyên khoa cấp I, cấp II được hỗ trợ một lần như sau:</w:t>
            </w:r>
          </w:p>
          <w:p w14:paraId="271D192B" w14:textId="77777777" w:rsidR="002840E8" w:rsidRPr="002840E8" w:rsidRDefault="002840E8" w:rsidP="002840E8">
            <w:pPr>
              <w:spacing w:after="120"/>
              <w:jc w:val="both"/>
            </w:pPr>
            <w:r w:rsidRPr="002840E8">
              <w:t>1. Tiến sĩ: 80.000.000 đồng/người.</w:t>
            </w:r>
          </w:p>
          <w:p w14:paraId="225B5380" w14:textId="77777777" w:rsidR="002840E8" w:rsidRPr="002840E8" w:rsidRDefault="002840E8" w:rsidP="002840E8">
            <w:pPr>
              <w:spacing w:after="120"/>
              <w:jc w:val="both"/>
            </w:pPr>
            <w:r w:rsidRPr="002840E8">
              <w:t>2. Chuyên khoa cấp II: 60.000.000 đồng/người.</w:t>
            </w:r>
          </w:p>
          <w:p w14:paraId="249F16EA" w14:textId="77777777" w:rsidR="002840E8" w:rsidRPr="002840E8" w:rsidRDefault="002840E8" w:rsidP="002840E8">
            <w:pPr>
              <w:spacing w:after="120"/>
              <w:jc w:val="both"/>
            </w:pPr>
            <w:r w:rsidRPr="002840E8">
              <w:t>3. Thạc sĩ: 30.000.000 đồng/người.</w:t>
            </w:r>
          </w:p>
          <w:p w14:paraId="68FFE0E5" w14:textId="063ED871" w:rsidR="002840E8" w:rsidRPr="00335FC4" w:rsidRDefault="002840E8" w:rsidP="002840E8">
            <w:pPr>
              <w:widowControl w:val="0"/>
              <w:spacing w:after="120"/>
              <w:jc w:val="both"/>
              <w:rPr>
                <w:lang w:val="vi-VN"/>
              </w:rPr>
            </w:pPr>
            <w:r w:rsidRPr="002840E8">
              <w:t>4. Chuyên khoa cấp I: 20.000.000 đồng/người.</w:t>
            </w:r>
          </w:p>
        </w:tc>
        <w:tc>
          <w:tcPr>
            <w:tcW w:w="2870" w:type="dxa"/>
          </w:tcPr>
          <w:p w14:paraId="3B63911A" w14:textId="77777777" w:rsidR="00357A01" w:rsidRPr="00335FC4" w:rsidRDefault="00357A01" w:rsidP="00261F68">
            <w:pPr>
              <w:widowControl w:val="0"/>
              <w:jc w:val="both"/>
            </w:pPr>
          </w:p>
        </w:tc>
      </w:tr>
      <w:tr w:rsidR="00336F32" w:rsidRPr="00335FC4" w14:paraId="54A12CA2" w14:textId="77777777" w:rsidTr="00A40F40">
        <w:trPr>
          <w:cantSplit/>
        </w:trPr>
        <w:tc>
          <w:tcPr>
            <w:tcW w:w="6776" w:type="dxa"/>
            <w:tcBorders>
              <w:bottom w:val="single" w:sz="4" w:space="0" w:color="auto"/>
            </w:tcBorders>
          </w:tcPr>
          <w:p w14:paraId="3E5BAED0" w14:textId="463A1FFD" w:rsidR="00336F32" w:rsidRPr="00335FC4" w:rsidRDefault="00336F32" w:rsidP="00261F68">
            <w:pPr>
              <w:widowControl w:val="0"/>
              <w:shd w:val="solid" w:color="FFFFFF" w:fill="auto"/>
              <w:spacing w:after="120"/>
              <w:jc w:val="both"/>
              <w:rPr>
                <w:b/>
                <w:bCs/>
                <w:lang w:val="pt-BR"/>
              </w:rPr>
            </w:pPr>
            <w:r w:rsidRPr="00312C12">
              <w:rPr>
                <w:b/>
                <w:bCs/>
              </w:rPr>
              <w:t xml:space="preserve">Điều 8. </w:t>
            </w:r>
            <w:r w:rsidRPr="00312C12">
              <w:rPr>
                <w:i/>
                <w:iCs/>
              </w:rPr>
              <w:t>(</w:t>
            </w:r>
            <w:r w:rsidRPr="00312C12">
              <w:rPr>
                <w:i/>
                <w:iCs/>
                <w:color w:val="000000"/>
                <w:lang w:val="vi-VN"/>
              </w:rPr>
              <w:t>Được bãi bỏ tại Nghị quyết số 14/2023/NQ-HĐND ngày 14/7/2023 của HĐND tỉnh</w:t>
            </w:r>
            <w:r>
              <w:rPr>
                <w:i/>
                <w:iCs/>
                <w:color w:val="000000"/>
                <w:lang w:val="en-US"/>
              </w:rPr>
              <w:t xml:space="preserve"> Bình Định</w:t>
            </w:r>
            <w:r w:rsidRPr="00312C12">
              <w:rPr>
                <w:i/>
                <w:iCs/>
                <w:color w:val="000000"/>
                <w:lang w:val="en-US"/>
              </w:rPr>
              <w:t>)</w:t>
            </w:r>
          </w:p>
        </w:tc>
        <w:tc>
          <w:tcPr>
            <w:tcW w:w="5528" w:type="dxa"/>
          </w:tcPr>
          <w:p w14:paraId="5E4E36AE" w14:textId="77777777" w:rsidR="00336F32" w:rsidRPr="00335FC4" w:rsidRDefault="00336F32" w:rsidP="000A5151">
            <w:pPr>
              <w:widowControl w:val="0"/>
              <w:jc w:val="both"/>
              <w:rPr>
                <w:b/>
                <w:bCs/>
              </w:rPr>
            </w:pPr>
          </w:p>
        </w:tc>
        <w:tc>
          <w:tcPr>
            <w:tcW w:w="2870" w:type="dxa"/>
          </w:tcPr>
          <w:p w14:paraId="7994983C" w14:textId="77777777" w:rsidR="00336F32" w:rsidRPr="00335FC4" w:rsidRDefault="00336F32" w:rsidP="00261F68">
            <w:pPr>
              <w:widowControl w:val="0"/>
              <w:jc w:val="both"/>
            </w:pPr>
          </w:p>
        </w:tc>
      </w:tr>
      <w:tr w:rsidR="00335FC4" w:rsidRPr="00335FC4" w14:paraId="57241E0C" w14:textId="77777777" w:rsidTr="00A40F40">
        <w:trPr>
          <w:cantSplit/>
        </w:trPr>
        <w:tc>
          <w:tcPr>
            <w:tcW w:w="6776" w:type="dxa"/>
            <w:tcBorders>
              <w:top w:val="single" w:sz="4" w:space="0" w:color="auto"/>
              <w:bottom w:val="dotted" w:sz="4" w:space="0" w:color="auto"/>
            </w:tcBorders>
          </w:tcPr>
          <w:p w14:paraId="6C76C078" w14:textId="77777777" w:rsidR="00335FC4" w:rsidRPr="00335FC4" w:rsidRDefault="00335FC4" w:rsidP="00261F68">
            <w:pPr>
              <w:widowControl w:val="0"/>
              <w:shd w:val="solid" w:color="FFFFFF" w:fill="auto"/>
              <w:spacing w:after="120"/>
              <w:jc w:val="both"/>
            </w:pPr>
            <w:bookmarkStart w:id="16" w:name="muc_2"/>
            <w:r w:rsidRPr="00335FC4">
              <w:rPr>
                <w:b/>
                <w:bCs/>
                <w:lang w:val="pt-BR"/>
              </w:rPr>
              <w:lastRenderedPageBreak/>
              <w:t>Mục II. ĐÀO TẠO Ở NGOÀI NƯỚC</w:t>
            </w:r>
            <w:bookmarkEnd w:id="16"/>
          </w:p>
          <w:p w14:paraId="22C2B641" w14:textId="77777777" w:rsidR="00335FC4" w:rsidRPr="00335FC4" w:rsidRDefault="00335FC4" w:rsidP="00261F68">
            <w:pPr>
              <w:widowControl w:val="0"/>
              <w:shd w:val="solid" w:color="FFFFFF" w:fill="auto"/>
              <w:spacing w:after="120"/>
              <w:jc w:val="both"/>
            </w:pPr>
            <w:bookmarkStart w:id="17" w:name="dieu_9"/>
            <w:r w:rsidRPr="00335FC4">
              <w:rPr>
                <w:b/>
                <w:bCs/>
                <w:lang w:val="pt-BR"/>
              </w:rPr>
              <w:t>Điều 9. Trợ cấp chi phí bồi dưỡng ngoại ngữ ở trong nước để đi học sau đại học ở nước ngoài</w:t>
            </w:r>
            <w:bookmarkEnd w:id="17"/>
          </w:p>
          <w:p w14:paraId="0FC94848" w14:textId="22D69C6E" w:rsidR="00335FC4" w:rsidRPr="00335FC4" w:rsidRDefault="00335FC4" w:rsidP="00261F68">
            <w:pPr>
              <w:widowControl w:val="0"/>
              <w:spacing w:after="120"/>
              <w:jc w:val="both"/>
              <w:rPr>
                <w:lang w:val="vi-VN"/>
              </w:rPr>
            </w:pPr>
            <w:r w:rsidRPr="00335FC4">
              <w:rPr>
                <w:lang w:val="pt-BR"/>
              </w:rPr>
              <w:t>Trước khi đi học sau đại học ở nước ngoài, học viên được cử đi học trình độ ngoại ngữ đạt chuẩn theo yêu cầu được trợ cấp 30.000.000 đồng/người/khóa học; nếu không đạt yêu cầu thì được hưởng 60% mức trợ cấp tại quy định này.</w:t>
            </w:r>
          </w:p>
        </w:tc>
        <w:tc>
          <w:tcPr>
            <w:tcW w:w="5528" w:type="dxa"/>
            <w:vMerge w:val="restart"/>
          </w:tcPr>
          <w:p w14:paraId="57661F95" w14:textId="77777777" w:rsidR="00335FC4" w:rsidRPr="00335FC4" w:rsidRDefault="00335FC4" w:rsidP="000A5151">
            <w:pPr>
              <w:widowControl w:val="0"/>
              <w:jc w:val="both"/>
              <w:rPr>
                <w:b/>
                <w:bCs/>
              </w:rPr>
            </w:pPr>
            <w:r w:rsidRPr="00335FC4">
              <w:rPr>
                <w:b/>
                <w:bCs/>
              </w:rPr>
              <w:t>Điều 7. Nội dung và mức hỗ trợ đào tạo, bồi dưỡng công chức ngoài nước</w:t>
            </w:r>
          </w:p>
          <w:p w14:paraId="03D687A3" w14:textId="3DDB5DA1" w:rsidR="00335FC4" w:rsidRPr="00335FC4" w:rsidRDefault="00335FC4" w:rsidP="000A5151">
            <w:pPr>
              <w:widowControl w:val="0"/>
              <w:jc w:val="both"/>
            </w:pPr>
            <w:r w:rsidRPr="00335FC4">
              <w:rPr>
                <w:lang w:val="en"/>
              </w:rPr>
              <w:t>1. Chi d</w:t>
            </w:r>
            <w:r w:rsidRPr="00335FC4">
              <w:t>ịch vụ đào tạo, bồi dưỡng và các khoản chi phí bắt buộc phải trả cho các cơ sở đào tạo hoặc cơ sở dịch vụ ở nước ngoài: Theo thông báo hoặc hóa đơn học phí của cơ sở đào tạo, bồi dưỡng nơi công chức được cử đi đào tạo, bồi dưỡng hoặc chứng từ, hóa đơn hợp pháp do cơ sở dịch vụ ở nước ngoài ban hành hoặc theo hợp đồng cụ thể do cấp có thẩm</w:t>
            </w:r>
            <w:r w:rsidRPr="00335FC4">
              <w:rPr>
                <w:lang w:val="vi-VN"/>
              </w:rPr>
              <w:t xml:space="preserve"> </w:t>
            </w:r>
            <w:r w:rsidRPr="00335FC4">
              <w:t>quyền ký kết;</w:t>
            </w:r>
          </w:p>
          <w:p w14:paraId="581E349B" w14:textId="77777777" w:rsidR="00335FC4" w:rsidRPr="00335FC4" w:rsidRDefault="00335FC4" w:rsidP="000A5151">
            <w:pPr>
              <w:widowControl w:val="0"/>
              <w:ind w:firstLine="33"/>
              <w:jc w:val="both"/>
            </w:pPr>
            <w:r w:rsidRPr="00335FC4">
              <w:rPr>
                <w:lang w:val="en"/>
              </w:rPr>
              <w:t xml:space="preserve"> 2. Chi mua B</w:t>
            </w:r>
            <w:r w:rsidRPr="00335FC4">
              <w:t>ảo hiểm y tế: Theo thông báo hoặc hóa đơn Bảo hiểm y tế bắt buộc của cơ sở đào tạo, bồi dưỡng nơi công chức được cử đi đào tạo và không vượt mức Bảo hiểm y tế tối thiểu áp dụng chung cho lưu học sinh nước ngoài ở nước sở tại;</w:t>
            </w:r>
          </w:p>
          <w:p w14:paraId="19D50796" w14:textId="3EEE500A" w:rsidR="00335FC4" w:rsidRDefault="00335FC4" w:rsidP="000A5151">
            <w:pPr>
              <w:widowControl w:val="0"/>
              <w:jc w:val="both"/>
            </w:pPr>
            <w:r w:rsidRPr="00335FC4">
              <w:rPr>
                <w:lang w:val="en"/>
              </w:rPr>
              <w:t xml:space="preserve"> 3. Chi phí ăn và tiêu v</w:t>
            </w:r>
            <w:r w:rsidRPr="00335FC4">
              <w:t xml:space="preserve">ặt, ở, đi lại, lệ phí sân bay, chi làm thủ tục xuất, nhập cảnh (hộ chiếu, thị thực (visa)), chi tiền điện thoại, fax, internet, dịch thuật được thực hiện theo quy định tại </w:t>
            </w:r>
            <w:r w:rsidR="00601C06" w:rsidRPr="00601C06">
              <w:t>Thông tư số </w:t>
            </w:r>
            <w:bookmarkStart w:id="18" w:name="tvpllink_henvpqkwsj"/>
            <w:r w:rsidR="00601C06" w:rsidRPr="00601C06">
              <w:t>140/2025/TT-BTC</w:t>
            </w:r>
            <w:bookmarkEnd w:id="18"/>
            <w:r w:rsidR="00601C06" w:rsidRPr="00601C06">
              <w:t> ngày 30</w:t>
            </w:r>
            <w:r w:rsidR="00601C06" w:rsidRPr="00601C06">
              <w:rPr>
                <w:lang w:val="vi-VN"/>
              </w:rPr>
              <w:t>/</w:t>
            </w:r>
            <w:r w:rsidR="00601C06" w:rsidRPr="00601C06">
              <w:t>12</w:t>
            </w:r>
            <w:r w:rsidR="00601C06" w:rsidRPr="00601C06">
              <w:rPr>
                <w:lang w:val="vi-VN"/>
              </w:rPr>
              <w:t>/</w:t>
            </w:r>
            <w:r w:rsidR="00601C06" w:rsidRPr="00601C06">
              <w:t>2025</w:t>
            </w:r>
            <w:r w:rsidRPr="00601C06">
              <w:rPr>
                <w:sz w:val="22"/>
                <w:szCs w:val="22"/>
              </w:rPr>
              <w:t xml:space="preserve"> </w:t>
            </w:r>
            <w:r w:rsidRPr="00335FC4">
              <w:t>của Bộ Tài chính quy định chế độ, công tác phí cho cán bộ, công chức nhà nước đi công tác ngắn hạn ở nước ngoài do ngân sách nhà nước bảo đảm kinh phí.</w:t>
            </w:r>
          </w:p>
          <w:p w14:paraId="312D3ACF" w14:textId="77777777" w:rsidR="002840E8" w:rsidRPr="002840E8" w:rsidRDefault="002840E8" w:rsidP="002840E8">
            <w:pPr>
              <w:spacing w:after="120"/>
              <w:jc w:val="both"/>
              <w:rPr>
                <w:b/>
                <w:bCs/>
              </w:rPr>
            </w:pPr>
            <w:r w:rsidRPr="002840E8">
              <w:rPr>
                <w:b/>
                <w:bCs/>
              </w:rPr>
              <w:t>Điều 8. Nội dung và mức chi đào tạo, bồi dưỡng viên chức</w:t>
            </w:r>
          </w:p>
          <w:p w14:paraId="5504B8AA" w14:textId="0B3C2BA2" w:rsidR="002840E8" w:rsidRPr="002840E8" w:rsidRDefault="002840E8" w:rsidP="002840E8">
            <w:pPr>
              <w:widowControl w:val="0"/>
              <w:jc w:val="both"/>
              <w:rPr>
                <w:sz w:val="22"/>
                <w:szCs w:val="22"/>
              </w:rPr>
            </w:pPr>
            <w:r w:rsidRPr="002840E8">
              <w:t xml:space="preserve">Căn cứ nguồn lực tài chính bố trí cho công tác đào tạo, bồi dưỡng viên chức tại đơn vị sự nghiệp công lập; căn cứ nội dung và mức chi đào tạo, bồi dưỡng đối với </w:t>
            </w:r>
            <w:r w:rsidR="001617EA">
              <w:t xml:space="preserve">cán bộ, </w:t>
            </w:r>
            <w:r w:rsidRPr="002840E8">
              <w:t xml:space="preserve">công chức quy định tại Điều 5, Điều 6 Nghị quyết này, thủ trưởng đơn vị sự nghiệp công lập quyết định </w:t>
            </w:r>
            <w:r w:rsidRPr="002840E8">
              <w:lastRenderedPageBreak/>
              <w:t>mức chi đào tạo, bồi dưỡng đối với viên chức phù hợp với quy định của pháp luật về cơ chế tự chủ tài chính của đơn vị sự nghiệp công lập.</w:t>
            </w:r>
          </w:p>
          <w:p w14:paraId="37E6BC43" w14:textId="65E0AE8F" w:rsidR="00335FC4" w:rsidRPr="00335FC4" w:rsidRDefault="00335FC4" w:rsidP="000A5151">
            <w:pPr>
              <w:widowControl w:val="0"/>
              <w:ind w:firstLine="37"/>
              <w:jc w:val="both"/>
            </w:pPr>
          </w:p>
        </w:tc>
        <w:tc>
          <w:tcPr>
            <w:tcW w:w="2870" w:type="dxa"/>
            <w:vMerge w:val="restart"/>
          </w:tcPr>
          <w:p w14:paraId="68765C38" w14:textId="77777777" w:rsidR="00335FC4" w:rsidRPr="00335FC4" w:rsidRDefault="00335FC4" w:rsidP="00261F68">
            <w:pPr>
              <w:widowControl w:val="0"/>
              <w:jc w:val="both"/>
            </w:pPr>
            <w:r w:rsidRPr="00335FC4">
              <w:lastRenderedPageBreak/>
              <w:t>- Mức hỗ trợ cơ bản giữ nguyên như Nghị quyết 25/2019/NQ-HĐND.</w:t>
            </w:r>
          </w:p>
          <w:p w14:paraId="29D12278" w14:textId="1E630C1A" w:rsidR="00335FC4" w:rsidRPr="00335FC4" w:rsidRDefault="00335FC4" w:rsidP="00261F68">
            <w:pPr>
              <w:pStyle w:val="NormalWeb"/>
              <w:widowControl w:val="0"/>
              <w:autoSpaceDE w:val="0"/>
              <w:autoSpaceDN w:val="0"/>
              <w:spacing w:before="0" w:beforeAutospacing="0" w:after="120" w:afterAutospacing="0"/>
              <w:ind w:firstLine="274"/>
              <w:jc w:val="both"/>
            </w:pPr>
            <w:r w:rsidRPr="00335FC4">
              <w:t>- Viết gọn Điều 9, 10 lại thành thành 01 Điều để thống nhất các các đề mục chi theo đúng quy định tại Thông tư 100/2025/TT-BTC.</w:t>
            </w:r>
          </w:p>
        </w:tc>
      </w:tr>
      <w:tr w:rsidR="00335FC4" w:rsidRPr="00335FC4" w14:paraId="5DC1E4B7" w14:textId="77777777" w:rsidTr="00A40F40">
        <w:trPr>
          <w:cantSplit/>
        </w:trPr>
        <w:tc>
          <w:tcPr>
            <w:tcW w:w="6776" w:type="dxa"/>
            <w:tcBorders>
              <w:top w:val="dotted" w:sz="4" w:space="0" w:color="auto"/>
            </w:tcBorders>
          </w:tcPr>
          <w:p w14:paraId="23407F42" w14:textId="77777777" w:rsidR="00335FC4" w:rsidRPr="00335FC4" w:rsidRDefault="00335FC4" w:rsidP="000A5151">
            <w:pPr>
              <w:widowControl w:val="0"/>
              <w:shd w:val="solid" w:color="FFFFFF" w:fill="auto"/>
              <w:spacing w:after="120"/>
              <w:jc w:val="both"/>
            </w:pPr>
            <w:r w:rsidRPr="00335FC4">
              <w:rPr>
                <w:b/>
                <w:bCs/>
                <w:lang w:val="pt-BR"/>
              </w:rPr>
              <w:t>Điều 10. Hỗ trợ chi phí đào tạo sau đại học ở nước ngoài</w:t>
            </w:r>
          </w:p>
          <w:p w14:paraId="7C5EC730" w14:textId="77777777" w:rsidR="00335FC4" w:rsidRPr="00335FC4" w:rsidRDefault="00335FC4" w:rsidP="000A5151">
            <w:pPr>
              <w:widowControl w:val="0"/>
              <w:shd w:val="solid" w:color="FFFFFF" w:fill="auto"/>
              <w:spacing w:after="120"/>
              <w:jc w:val="both"/>
            </w:pPr>
            <w:r w:rsidRPr="00335FC4">
              <w:rPr>
                <w:lang w:val="pt-BR"/>
              </w:rPr>
              <w:t>Học viên đi học sau đại học ở nước ngoài được hỗ trợ để chi trả các khoản chi phí sau:</w:t>
            </w:r>
          </w:p>
          <w:p w14:paraId="57AACC3A" w14:textId="77777777" w:rsidR="00335FC4" w:rsidRDefault="00335FC4" w:rsidP="000A5151">
            <w:pPr>
              <w:widowControl w:val="0"/>
              <w:shd w:val="solid" w:color="FFFFFF" w:fill="auto"/>
              <w:spacing w:after="120"/>
              <w:jc w:val="both"/>
            </w:pPr>
            <w:r w:rsidRPr="00335FC4">
              <w:rPr>
                <w:lang w:val="pt-BR"/>
              </w:rPr>
              <w:t>1. </w:t>
            </w:r>
            <w:r w:rsidRPr="00335FC4">
              <w:t xml:space="preserve">Chi phí dịch vụ đào tạo và các chi phí khác liên quan đến khóa đào tạo phải </w:t>
            </w:r>
            <w:r w:rsidRPr="00335FC4">
              <w:rPr>
                <w:lang w:val="vi-VN"/>
              </w:rPr>
              <w:t>trả cho các cơ sở đào tạo nước ngoài</w:t>
            </w:r>
            <w:r w:rsidRPr="00335FC4">
              <w:t xml:space="preserve">: Theo thông báo hoặc hóa đơn học phí của cơ sở đào tạo hoặc </w:t>
            </w:r>
            <w:r w:rsidRPr="00335FC4">
              <w:rPr>
                <w:lang w:val="vi-VN"/>
              </w:rPr>
              <w:t>căn cứ vào hợp đồng ký kết với cơ sở đào tạo nước ngoài</w:t>
            </w:r>
            <w:r w:rsidRPr="00335FC4">
              <w:t>.</w:t>
            </w:r>
          </w:p>
          <w:p w14:paraId="4E69A077" w14:textId="77777777" w:rsidR="008B6A59" w:rsidRPr="00335FC4" w:rsidRDefault="008B6A59" w:rsidP="008B6A59">
            <w:pPr>
              <w:widowControl w:val="0"/>
              <w:shd w:val="solid" w:color="FFFFFF" w:fill="auto"/>
              <w:spacing w:after="120"/>
              <w:jc w:val="both"/>
            </w:pPr>
            <w:r w:rsidRPr="00335FC4">
              <w:t>2. Bảo hiểm y tế: Theo Thông báo hoặc hóa đơn bảo hiểm y tế bắt buộc của cơ sở đào tạo và không vượt mức Bảo hiểm y tế tối thiểu áp dụng chung cho lưu học sinh nước ngoài ở nước sở tại.</w:t>
            </w:r>
          </w:p>
          <w:p w14:paraId="453DD570" w14:textId="77777777" w:rsidR="008B6A59" w:rsidRPr="00335FC4" w:rsidRDefault="008B6A59" w:rsidP="008B6A59">
            <w:pPr>
              <w:widowControl w:val="0"/>
              <w:shd w:val="solid" w:color="FFFFFF" w:fill="auto"/>
              <w:spacing w:after="120"/>
              <w:jc w:val="both"/>
            </w:pPr>
            <w:r w:rsidRPr="00335FC4">
              <w:t>3. Chi phí ăn và tiêu vặt, ở, đi lại hàng ngày được cấp theo thời gian học tập thực tế ở nước ngoài (từ ngày nhập học đến ngày kết thúc nhưng không vượt quá thời gian ghi trong quyết định của cấp có thẩm quyền). Mức hỗ trợ cụ thể thực hiện theo chương trình, đề án được cấp có thẩm quyền phê duyệt.</w:t>
            </w:r>
          </w:p>
          <w:p w14:paraId="149AAA52" w14:textId="1A669939" w:rsidR="008B6A59" w:rsidRPr="008B6A59" w:rsidRDefault="008B6A59" w:rsidP="008B6A59">
            <w:pPr>
              <w:widowControl w:val="0"/>
              <w:shd w:val="solid" w:color="FFFFFF" w:fill="auto"/>
              <w:spacing w:after="120"/>
              <w:jc w:val="both"/>
            </w:pPr>
            <w:r w:rsidRPr="00335FC4">
              <w:t>4. Tiền vé máy bay hạng phổ thông (hạng economy) hoặc vé tàu lượt đi từ Việt Nam đến nơi học tập và lượt về từ nơi học tập về Việt Nam trong một khóa học, tối đa không quá hai lượt đi và hai lượt về.</w:t>
            </w:r>
          </w:p>
        </w:tc>
        <w:tc>
          <w:tcPr>
            <w:tcW w:w="5528" w:type="dxa"/>
            <w:vMerge/>
          </w:tcPr>
          <w:p w14:paraId="0C84CC15" w14:textId="77777777" w:rsidR="00335FC4" w:rsidRPr="00335FC4" w:rsidRDefault="00335FC4" w:rsidP="000A5151">
            <w:pPr>
              <w:widowControl w:val="0"/>
              <w:jc w:val="both"/>
              <w:rPr>
                <w:b/>
                <w:bCs/>
              </w:rPr>
            </w:pPr>
          </w:p>
        </w:tc>
        <w:tc>
          <w:tcPr>
            <w:tcW w:w="2870" w:type="dxa"/>
            <w:vMerge/>
          </w:tcPr>
          <w:p w14:paraId="5D95FAC3" w14:textId="77777777" w:rsidR="00335FC4" w:rsidRPr="00335FC4" w:rsidRDefault="00335FC4" w:rsidP="00261F68">
            <w:pPr>
              <w:widowControl w:val="0"/>
              <w:jc w:val="both"/>
            </w:pPr>
          </w:p>
        </w:tc>
      </w:tr>
      <w:tr w:rsidR="00335FC4" w:rsidRPr="00335FC4" w14:paraId="418E410E" w14:textId="77777777" w:rsidTr="00A40F40">
        <w:trPr>
          <w:cantSplit/>
        </w:trPr>
        <w:tc>
          <w:tcPr>
            <w:tcW w:w="6776" w:type="dxa"/>
          </w:tcPr>
          <w:p w14:paraId="2545EA41" w14:textId="77777777" w:rsidR="00C07C5B" w:rsidRPr="00335FC4" w:rsidRDefault="00C07C5B" w:rsidP="00261F68">
            <w:pPr>
              <w:widowControl w:val="0"/>
              <w:shd w:val="solid" w:color="FFFFFF" w:fill="auto"/>
              <w:spacing w:after="120"/>
              <w:jc w:val="both"/>
            </w:pPr>
            <w:r w:rsidRPr="00335FC4">
              <w:lastRenderedPageBreak/>
              <w:t>5. Tiền lệ phí sân bay, tiền tàu, xe từ sân bay đến trường và ngược lại cho mỗi lượt đi và về được thanh toán theo chứng từ hợp pháp nhưng tối đa không quá 200 đô la Mỹ.</w:t>
            </w:r>
          </w:p>
          <w:p w14:paraId="063886E0" w14:textId="77777777" w:rsidR="00C07C5B" w:rsidRPr="00335FC4" w:rsidRDefault="00C07C5B" w:rsidP="00261F68">
            <w:pPr>
              <w:widowControl w:val="0"/>
              <w:shd w:val="solid" w:color="FFFFFF" w:fill="auto"/>
              <w:spacing w:after="120"/>
              <w:jc w:val="both"/>
            </w:pPr>
            <w:r w:rsidRPr="00335FC4">
              <w:t>6. Chi phí làm hộ chiếu, khám sức khỏe, visa, chi tiền tàu xe đi và về từ cơ quan đến sân bay, nhà ga, bến tàu theo thực tế phát sinh.</w:t>
            </w:r>
          </w:p>
          <w:p w14:paraId="0294BF9C" w14:textId="2669C1A5" w:rsidR="008B6A59" w:rsidRPr="0084657F" w:rsidRDefault="00C07C5B" w:rsidP="00261F68">
            <w:pPr>
              <w:widowControl w:val="0"/>
              <w:spacing w:after="120"/>
              <w:jc w:val="both"/>
              <w:rPr>
                <w:lang w:val="en-US"/>
              </w:rPr>
            </w:pPr>
            <w:r w:rsidRPr="00335FC4">
              <w:t xml:space="preserve">7. </w:t>
            </w:r>
            <w:r w:rsidRPr="00335FC4">
              <w:rPr>
                <w:lang w:val="vi-VN"/>
              </w:rPr>
              <w:t>Các khoản chi khác có liên quan theo quy định của nước sở tại.</w:t>
            </w:r>
          </w:p>
        </w:tc>
        <w:tc>
          <w:tcPr>
            <w:tcW w:w="5528" w:type="dxa"/>
            <w:vMerge/>
          </w:tcPr>
          <w:p w14:paraId="1F8772CE" w14:textId="77777777" w:rsidR="00C07C5B" w:rsidRPr="00335FC4" w:rsidRDefault="00C07C5B" w:rsidP="00261F68">
            <w:pPr>
              <w:widowControl w:val="0"/>
              <w:spacing w:after="120"/>
              <w:ind w:firstLine="152"/>
              <w:jc w:val="both"/>
            </w:pPr>
          </w:p>
        </w:tc>
        <w:tc>
          <w:tcPr>
            <w:tcW w:w="2870" w:type="dxa"/>
          </w:tcPr>
          <w:p w14:paraId="2A4C05FB" w14:textId="77777777" w:rsidR="00C07C5B" w:rsidRPr="00335FC4" w:rsidRDefault="00C07C5B" w:rsidP="00261F68">
            <w:pPr>
              <w:pStyle w:val="NormalWeb"/>
              <w:widowControl w:val="0"/>
              <w:autoSpaceDE w:val="0"/>
              <w:autoSpaceDN w:val="0"/>
              <w:spacing w:before="0" w:beforeAutospacing="0" w:after="120" w:afterAutospacing="0"/>
              <w:ind w:firstLine="274"/>
              <w:jc w:val="both"/>
            </w:pPr>
          </w:p>
        </w:tc>
      </w:tr>
      <w:tr w:rsidR="0084657F" w:rsidRPr="00335FC4" w14:paraId="6E59FB6C" w14:textId="77777777" w:rsidTr="00A40F40">
        <w:trPr>
          <w:cantSplit/>
        </w:trPr>
        <w:tc>
          <w:tcPr>
            <w:tcW w:w="6776" w:type="dxa"/>
          </w:tcPr>
          <w:p w14:paraId="1C98C338" w14:textId="42368EC3" w:rsidR="0084657F" w:rsidRPr="00335FC4" w:rsidRDefault="0084657F" w:rsidP="0084657F">
            <w:pPr>
              <w:widowControl w:val="0"/>
              <w:shd w:val="solid" w:color="FFFFFF" w:fill="auto"/>
              <w:spacing w:after="120"/>
              <w:jc w:val="both"/>
              <w:rPr>
                <w:b/>
                <w:bCs/>
                <w:lang w:val="de-DE"/>
              </w:rPr>
            </w:pPr>
            <w:r w:rsidRPr="008B6A59">
              <w:rPr>
                <w:b/>
                <w:bCs/>
                <w:lang w:val="en-US"/>
              </w:rPr>
              <w:t xml:space="preserve">Điều 11. </w:t>
            </w:r>
            <w:r w:rsidRPr="00312C12">
              <w:rPr>
                <w:i/>
                <w:iCs/>
              </w:rPr>
              <w:t>(</w:t>
            </w:r>
            <w:r w:rsidRPr="00312C12">
              <w:rPr>
                <w:i/>
                <w:iCs/>
                <w:color w:val="000000"/>
                <w:lang w:val="vi-VN"/>
              </w:rPr>
              <w:t>Được bãi bỏ tại Nghị quyết số 14/2023/NQ-HĐND ngày 14/7/2023 của HĐND tỉnh</w:t>
            </w:r>
            <w:r>
              <w:rPr>
                <w:i/>
                <w:iCs/>
                <w:color w:val="000000"/>
                <w:lang w:val="en-US"/>
              </w:rPr>
              <w:t xml:space="preserve"> Bình Định</w:t>
            </w:r>
            <w:r w:rsidRPr="00312C12">
              <w:rPr>
                <w:i/>
                <w:iCs/>
                <w:color w:val="000000"/>
                <w:lang w:val="en-US"/>
              </w:rPr>
              <w:t>)</w:t>
            </w:r>
          </w:p>
        </w:tc>
        <w:tc>
          <w:tcPr>
            <w:tcW w:w="5528" w:type="dxa"/>
          </w:tcPr>
          <w:p w14:paraId="2B860659" w14:textId="77777777" w:rsidR="0084657F" w:rsidRPr="00335FC4" w:rsidRDefault="0084657F" w:rsidP="000A5151">
            <w:pPr>
              <w:widowControl w:val="0"/>
              <w:spacing w:after="120"/>
              <w:ind w:firstLine="33"/>
              <w:jc w:val="both"/>
              <w:rPr>
                <w:b/>
                <w:bCs/>
              </w:rPr>
            </w:pPr>
          </w:p>
        </w:tc>
        <w:tc>
          <w:tcPr>
            <w:tcW w:w="2870" w:type="dxa"/>
          </w:tcPr>
          <w:p w14:paraId="4FAE575A" w14:textId="77777777" w:rsidR="0084657F" w:rsidRPr="00335FC4" w:rsidRDefault="0084657F" w:rsidP="000A5151">
            <w:pPr>
              <w:widowControl w:val="0"/>
              <w:jc w:val="both"/>
            </w:pPr>
          </w:p>
        </w:tc>
      </w:tr>
      <w:tr w:rsidR="00335FC4" w:rsidRPr="00335FC4" w14:paraId="1DD5A08F" w14:textId="77777777" w:rsidTr="00A40F40">
        <w:trPr>
          <w:cantSplit/>
        </w:trPr>
        <w:tc>
          <w:tcPr>
            <w:tcW w:w="6776" w:type="dxa"/>
          </w:tcPr>
          <w:p w14:paraId="7BA5D26E" w14:textId="77777777" w:rsidR="000A5151" w:rsidRPr="00335FC4" w:rsidRDefault="000A5151" w:rsidP="000A5151">
            <w:pPr>
              <w:widowControl w:val="0"/>
              <w:shd w:val="solid" w:color="FFFFFF" w:fill="auto"/>
              <w:spacing w:after="120"/>
              <w:jc w:val="center"/>
            </w:pPr>
            <w:bookmarkStart w:id="19" w:name="chuong_3"/>
            <w:r w:rsidRPr="00335FC4">
              <w:rPr>
                <w:b/>
                <w:bCs/>
                <w:lang w:val="de-DE"/>
              </w:rPr>
              <w:t>Chương III</w:t>
            </w:r>
            <w:bookmarkEnd w:id="19"/>
          </w:p>
          <w:p w14:paraId="2386BF6C" w14:textId="77777777" w:rsidR="000A5151" w:rsidRPr="00335FC4" w:rsidRDefault="000A5151" w:rsidP="000A5151">
            <w:pPr>
              <w:widowControl w:val="0"/>
              <w:shd w:val="solid" w:color="FFFFFF" w:fill="auto"/>
              <w:spacing w:after="120"/>
              <w:jc w:val="center"/>
            </w:pPr>
            <w:bookmarkStart w:id="20" w:name="chuong_3_name"/>
            <w:r w:rsidRPr="00335FC4">
              <w:rPr>
                <w:b/>
                <w:bCs/>
                <w:lang w:val="de-DE"/>
              </w:rPr>
              <w:t>TỔ CHỨC THỰC HIỆN</w:t>
            </w:r>
            <w:bookmarkEnd w:id="20"/>
          </w:p>
          <w:p w14:paraId="036A56A6" w14:textId="77777777" w:rsidR="000A5151" w:rsidRPr="00335FC4" w:rsidRDefault="000A5151" w:rsidP="000A5151">
            <w:pPr>
              <w:widowControl w:val="0"/>
              <w:shd w:val="solid" w:color="FFFFFF" w:fill="auto"/>
              <w:spacing w:after="120"/>
              <w:jc w:val="both"/>
            </w:pPr>
            <w:bookmarkStart w:id="21" w:name="dieu_12"/>
            <w:r w:rsidRPr="00335FC4">
              <w:rPr>
                <w:b/>
                <w:bCs/>
                <w:lang w:val="pt-BR"/>
              </w:rPr>
              <w:t>Điều 12. Quyền lợi và trách nhiệm của cán bộ, công chức, viên chức được cử đi đào tạo</w:t>
            </w:r>
            <w:bookmarkEnd w:id="21"/>
          </w:p>
          <w:p w14:paraId="218ACB90" w14:textId="77777777" w:rsidR="000A5151" w:rsidRPr="00335FC4" w:rsidRDefault="000A5151" w:rsidP="000A5151">
            <w:pPr>
              <w:widowControl w:val="0"/>
              <w:shd w:val="solid" w:color="FFFFFF" w:fill="auto"/>
              <w:spacing w:after="120"/>
              <w:jc w:val="both"/>
            </w:pPr>
            <w:r w:rsidRPr="00335FC4">
              <w:t>1. Quyền lợi:</w:t>
            </w:r>
          </w:p>
          <w:p w14:paraId="64B0220F" w14:textId="77777777" w:rsidR="000A5151" w:rsidRPr="00335FC4" w:rsidRDefault="000A5151" w:rsidP="000A5151">
            <w:pPr>
              <w:widowControl w:val="0"/>
              <w:shd w:val="solid" w:color="FFFFFF" w:fill="auto"/>
              <w:spacing w:after="120"/>
              <w:jc w:val="both"/>
            </w:pPr>
            <w:r w:rsidRPr="00335FC4">
              <w:t>a) Được hưởng nguyên lương, phụ cấp nếu đào tạo ở trong nước, 40% lương, phụ cấp nếu đào tạo ở nước ngoài trong thời gian đào tạo;</w:t>
            </w:r>
          </w:p>
          <w:p w14:paraId="2C0B109B" w14:textId="77777777" w:rsidR="00BF6262" w:rsidRPr="00335FC4" w:rsidRDefault="00BF6262" w:rsidP="00BF6262">
            <w:pPr>
              <w:widowControl w:val="0"/>
              <w:shd w:val="solid" w:color="FFFFFF" w:fill="auto"/>
              <w:jc w:val="both"/>
            </w:pPr>
            <w:r w:rsidRPr="00335FC4">
              <w:t>b) Sau khi tốt nghiệp khóa đào tạo được phân công, bố trí công tác phù hợp, được tạo điều kiện và môi trường để phát huy tốt năng lực chuyên môn, nghiệp vụ được đào tạo.</w:t>
            </w:r>
          </w:p>
          <w:p w14:paraId="3F88CF65" w14:textId="77777777" w:rsidR="00BF6262" w:rsidRPr="00335FC4" w:rsidRDefault="00BF6262" w:rsidP="00BF6262">
            <w:pPr>
              <w:widowControl w:val="0"/>
              <w:jc w:val="both"/>
            </w:pPr>
            <w:r w:rsidRPr="00335FC4">
              <w:t>2. Trách nhiệm:</w:t>
            </w:r>
          </w:p>
          <w:p w14:paraId="7E891B4C" w14:textId="77777777" w:rsidR="00BF6262" w:rsidRPr="00335FC4" w:rsidRDefault="00BF6262" w:rsidP="00BF6262">
            <w:pPr>
              <w:widowControl w:val="0"/>
              <w:jc w:val="both"/>
            </w:pPr>
            <w:r w:rsidRPr="00335FC4">
              <w:t>a) Hoàn thành nhiệm vụ học tập đúng thời gian quy định và thực hiện đúng quy định của cơ sở đào tạo;</w:t>
            </w:r>
          </w:p>
          <w:p w14:paraId="6CE928FE" w14:textId="77777777" w:rsidR="00BF6262" w:rsidRPr="00335FC4" w:rsidRDefault="00BF6262" w:rsidP="00BF6262">
            <w:pPr>
              <w:widowControl w:val="0"/>
              <w:jc w:val="both"/>
            </w:pPr>
            <w:r w:rsidRPr="00335FC4">
              <w:t>b) Thực hiện đúng nội dung Bản cam kết đã ký; chấp hành sự phân công công tác của cơ quan, đơn vị có thẩm quyền sau khi tốt nghiệp khóa học;</w:t>
            </w:r>
          </w:p>
          <w:p w14:paraId="4AEAC6F9" w14:textId="47D6982D" w:rsidR="000A5151" w:rsidRPr="00335FC4" w:rsidRDefault="00BF6262" w:rsidP="00BF6262">
            <w:pPr>
              <w:widowControl w:val="0"/>
              <w:shd w:val="solid" w:color="FFFFFF" w:fill="auto"/>
              <w:spacing w:after="120"/>
              <w:jc w:val="both"/>
            </w:pPr>
            <w:r w:rsidRPr="00335FC4">
              <w:t>c) Chịu trách nhiệm đền bù chi phí đào tạo theo quy định tại Điều 7, 8 Nghị định 101/2017/NĐ-CP;</w:t>
            </w:r>
          </w:p>
        </w:tc>
        <w:tc>
          <w:tcPr>
            <w:tcW w:w="5528" w:type="dxa"/>
          </w:tcPr>
          <w:p w14:paraId="17B2682B" w14:textId="77777777" w:rsidR="000A5151" w:rsidRPr="00335FC4" w:rsidRDefault="000A5151" w:rsidP="000A5151">
            <w:pPr>
              <w:widowControl w:val="0"/>
              <w:spacing w:after="120"/>
              <w:ind w:firstLine="33"/>
              <w:jc w:val="both"/>
            </w:pPr>
            <w:r w:rsidRPr="00335FC4">
              <w:rPr>
                <w:b/>
                <w:bCs/>
              </w:rPr>
              <w:t>Điều 9. Quyền lợi và trách nhiệm của cán bộ, công chức, viên chức được cử đi đào tạo</w:t>
            </w:r>
          </w:p>
          <w:p w14:paraId="3252FE7B" w14:textId="77777777" w:rsidR="000A5151" w:rsidRPr="00335FC4" w:rsidRDefault="000A5151" w:rsidP="000A5151">
            <w:pPr>
              <w:widowControl w:val="0"/>
              <w:spacing w:after="120"/>
              <w:ind w:firstLine="33"/>
              <w:jc w:val="both"/>
            </w:pPr>
            <w:r w:rsidRPr="00335FC4">
              <w:t>1. Quyền lợi:</w:t>
            </w:r>
          </w:p>
          <w:p w14:paraId="34F98BC0" w14:textId="77777777" w:rsidR="000A5151" w:rsidRPr="00335FC4" w:rsidRDefault="000A5151" w:rsidP="000A5151">
            <w:pPr>
              <w:widowControl w:val="0"/>
              <w:spacing w:after="120"/>
              <w:jc w:val="both"/>
            </w:pPr>
            <w:r w:rsidRPr="00335FC4">
              <w:t>a) Được hưởng nguyên lương, phụ cấp nếu đào tạo ở trong nước; hưởng 40% lương, phụ cấp nếu đào tạo ở nước ngoài trong thời gian đào tạo;</w:t>
            </w:r>
          </w:p>
          <w:p w14:paraId="2BE02B7B" w14:textId="1CD01CB8" w:rsidR="000A5151" w:rsidRPr="00335FC4" w:rsidRDefault="000A5151" w:rsidP="000A5151">
            <w:pPr>
              <w:widowControl w:val="0"/>
              <w:spacing w:after="120"/>
              <w:ind w:firstLine="33"/>
              <w:jc w:val="both"/>
              <w:rPr>
                <w:lang w:val="vi-VN"/>
              </w:rPr>
            </w:pPr>
            <w:r w:rsidRPr="00335FC4">
              <w:t>b) Sau khi tốt nghiệp khóa đào tạo được phân công, bố trí công tác phù hợp, được tạo điều kiện và môi trường để phát huy tốt năng lực chuyên môn, nghiệp vụ được đào tạo.</w:t>
            </w:r>
          </w:p>
        </w:tc>
        <w:tc>
          <w:tcPr>
            <w:tcW w:w="2870" w:type="dxa"/>
            <w:vMerge w:val="restart"/>
          </w:tcPr>
          <w:p w14:paraId="51F0CC2C" w14:textId="00E2288E" w:rsidR="000A5151" w:rsidRPr="00335FC4" w:rsidRDefault="000A5151" w:rsidP="000A5151">
            <w:pPr>
              <w:widowControl w:val="0"/>
              <w:jc w:val="both"/>
              <w:rPr>
                <w:lang w:val="vi-VN"/>
              </w:rPr>
            </w:pPr>
            <w:r w:rsidRPr="00335FC4">
              <w:t>Mức hỗ trợ cơ bản giữ nguyên như Nghị quyết 25/2019/NQ-HĐND.</w:t>
            </w:r>
          </w:p>
        </w:tc>
      </w:tr>
      <w:tr w:rsidR="00335FC4" w:rsidRPr="00335FC4" w14:paraId="159D109E" w14:textId="77777777" w:rsidTr="00A40F40">
        <w:trPr>
          <w:cantSplit/>
        </w:trPr>
        <w:tc>
          <w:tcPr>
            <w:tcW w:w="6776" w:type="dxa"/>
          </w:tcPr>
          <w:p w14:paraId="3FA6C001" w14:textId="77777777" w:rsidR="000A5151" w:rsidRPr="00335FC4" w:rsidRDefault="000A5151" w:rsidP="000A5151">
            <w:pPr>
              <w:widowControl w:val="0"/>
              <w:shd w:val="solid" w:color="FFFFFF" w:fill="auto"/>
              <w:jc w:val="both"/>
            </w:pPr>
            <w:r w:rsidRPr="00335FC4">
              <w:lastRenderedPageBreak/>
              <w:t xml:space="preserve">d) Hoàn trả các khoản trợ cấp hàng tháng và trợ cấp </w:t>
            </w:r>
            <w:r w:rsidRPr="00335FC4">
              <w:rPr>
                <w:lang w:val="pt-BR"/>
              </w:rPr>
              <w:t xml:space="preserve">khi tốt nghiệp sau đại học </w:t>
            </w:r>
            <w:r w:rsidRPr="00335FC4">
              <w:t>nếu thuộc một trong các trường hợp sau đây:</w:t>
            </w:r>
          </w:p>
          <w:p w14:paraId="7B20C0E0" w14:textId="77777777" w:rsidR="000A5151" w:rsidRPr="00335FC4" w:rsidRDefault="000A5151" w:rsidP="000A5151">
            <w:pPr>
              <w:widowControl w:val="0"/>
              <w:shd w:val="solid" w:color="FFFFFF" w:fill="auto"/>
              <w:jc w:val="both"/>
            </w:pPr>
            <w:r w:rsidRPr="00335FC4">
              <w:t>- Bị buộc thôi học hoặc tự ý bỏ học;</w:t>
            </w:r>
          </w:p>
          <w:p w14:paraId="329446DD" w14:textId="77777777" w:rsidR="000A5151" w:rsidRPr="00335FC4" w:rsidRDefault="000A5151" w:rsidP="000A5151">
            <w:pPr>
              <w:widowControl w:val="0"/>
              <w:shd w:val="solid" w:color="FFFFFF" w:fill="auto"/>
              <w:jc w:val="both"/>
            </w:pPr>
            <w:r w:rsidRPr="00335FC4">
              <w:t>- Sau 12 tháng kể từ ngày được gia hạn vẫn không tốt nghiệp khóa học;</w:t>
            </w:r>
          </w:p>
          <w:p w14:paraId="7D6F5EED" w14:textId="77777777" w:rsidR="000A5151" w:rsidRPr="00335FC4" w:rsidRDefault="000A5151" w:rsidP="000A5151">
            <w:pPr>
              <w:widowControl w:val="0"/>
              <w:shd w:val="solid" w:color="FFFFFF" w:fill="auto"/>
              <w:jc w:val="both"/>
            </w:pPr>
            <w:r w:rsidRPr="00335FC4">
              <w:t>- Không trở về công tác tại cơ quan, đơn vị thuộc tỉnh sau khi tốt nghiệp;</w:t>
            </w:r>
          </w:p>
          <w:p w14:paraId="3499B7B7" w14:textId="77777777" w:rsidR="000A5151" w:rsidRPr="00335FC4" w:rsidRDefault="000A5151" w:rsidP="000A5151">
            <w:pPr>
              <w:widowControl w:val="0"/>
              <w:shd w:val="solid" w:color="FFFFFF" w:fill="auto"/>
              <w:jc w:val="both"/>
            </w:pPr>
            <w:r w:rsidRPr="00335FC4">
              <w:t>- Không chấp hành sự phân công, bố trí công tác trong thời gian thực hiện nghĩa vụ đã cam kết;</w:t>
            </w:r>
          </w:p>
          <w:p w14:paraId="0829A6A6" w14:textId="77777777" w:rsidR="000A5151" w:rsidRPr="00335FC4" w:rsidRDefault="000A5151" w:rsidP="000A5151">
            <w:pPr>
              <w:widowControl w:val="0"/>
              <w:shd w:val="solid" w:color="FFFFFF" w:fill="auto"/>
              <w:jc w:val="both"/>
            </w:pPr>
            <w:r w:rsidRPr="00335FC4">
              <w:t>- Bỏ việc, thôi việc hoặc chấm dứt hợp đồng làm việc với cơ quan, đơn vị khi thời gian phục vụ chưa đủ theo thời gian đã cam kết.</w:t>
            </w:r>
          </w:p>
          <w:p w14:paraId="40EAE680" w14:textId="77777777" w:rsidR="000A5151" w:rsidRPr="00335FC4" w:rsidRDefault="000A5151" w:rsidP="000A5151">
            <w:pPr>
              <w:widowControl w:val="0"/>
              <w:shd w:val="solid" w:color="FFFFFF" w:fill="auto"/>
              <w:jc w:val="both"/>
            </w:pPr>
            <w:r w:rsidRPr="00335FC4">
              <w:t>Các trường hợp có lý do chính đáng và các trường hợp đặc biệt khác do Chủ tịch Ủy ban nhân dân tỉnh xem xét quyết định.</w:t>
            </w:r>
          </w:p>
          <w:p w14:paraId="0E999F2F" w14:textId="77777777" w:rsidR="000A5151" w:rsidRPr="00335FC4" w:rsidRDefault="000A5151" w:rsidP="000A5151">
            <w:pPr>
              <w:widowControl w:val="0"/>
              <w:shd w:val="solid" w:color="FFFFFF" w:fill="auto"/>
              <w:jc w:val="both"/>
            </w:pPr>
            <w:r w:rsidRPr="00335FC4">
              <w:rPr>
                <w:shd w:val="solid" w:color="FFFFFF" w:fill="auto"/>
              </w:rPr>
              <w:t>- Thời gian hoàn trả:</w:t>
            </w:r>
            <w:r w:rsidRPr="00335FC4">
              <w:rPr>
                <w:b/>
                <w:bCs/>
                <w:shd w:val="solid" w:color="FFFFFF" w:fill="auto"/>
              </w:rPr>
              <w:t xml:space="preserve"> </w:t>
            </w:r>
            <w:r w:rsidRPr="00335FC4">
              <w:rPr>
                <w:shd w:val="solid" w:color="FFFFFF" w:fill="auto"/>
              </w:rPr>
              <w:t>Chậm nhất trong thời hạn 120 ngày, kể từ ngày cơ quan có thẩm quyền có quyết định thu hồi.</w:t>
            </w:r>
          </w:p>
          <w:p w14:paraId="7D58047C" w14:textId="42DB646A" w:rsidR="000A5151" w:rsidRPr="00335FC4" w:rsidRDefault="000A5151" w:rsidP="000A5151">
            <w:pPr>
              <w:widowControl w:val="0"/>
              <w:shd w:val="solid" w:color="FFFFFF" w:fill="auto"/>
              <w:jc w:val="both"/>
            </w:pPr>
            <w:r w:rsidRPr="00335FC4">
              <w:t>đ) Nếu bị cơ sở đào tạo buộc thôi học hoặc tự ý bỏ bọc thì sẽ bị xử lý kỷ luật theo quy định của Luật Cán bộ, công chức và Luật Viên chức.</w:t>
            </w:r>
          </w:p>
        </w:tc>
        <w:tc>
          <w:tcPr>
            <w:tcW w:w="5528" w:type="dxa"/>
          </w:tcPr>
          <w:p w14:paraId="7C1D604F" w14:textId="77777777" w:rsidR="000A5151" w:rsidRPr="00335FC4" w:rsidRDefault="000A5151" w:rsidP="000A5151">
            <w:pPr>
              <w:widowControl w:val="0"/>
              <w:ind w:firstLine="33"/>
              <w:jc w:val="both"/>
            </w:pPr>
            <w:r w:rsidRPr="00335FC4">
              <w:t>2. Trách nhiệm:</w:t>
            </w:r>
          </w:p>
          <w:p w14:paraId="0E04A2F9" w14:textId="77777777" w:rsidR="000A5151" w:rsidRPr="00335FC4" w:rsidRDefault="000A5151" w:rsidP="000A5151">
            <w:pPr>
              <w:widowControl w:val="0"/>
              <w:ind w:firstLine="33"/>
              <w:jc w:val="both"/>
            </w:pPr>
            <w:r w:rsidRPr="00335FC4">
              <w:t>a) Hoàn thành nhiệm vụ học tập đúng thời gian quy định và thực hiện đúng quy định của cơ sở đào tạo;</w:t>
            </w:r>
          </w:p>
          <w:p w14:paraId="62ECF010" w14:textId="77777777" w:rsidR="000A5151" w:rsidRPr="00335FC4" w:rsidRDefault="000A5151" w:rsidP="000A5151">
            <w:pPr>
              <w:widowControl w:val="0"/>
              <w:jc w:val="both"/>
            </w:pPr>
            <w:r w:rsidRPr="00335FC4">
              <w:t>b) Thực hiện đúng nội dung Bản cam kết đã ký; chấp hành sự phân công công tác của cơ quan, đơn vị có thẩm quyền sau khi tốt nghiệp khóa học;</w:t>
            </w:r>
          </w:p>
          <w:p w14:paraId="36C28C33" w14:textId="34B5BBD0" w:rsidR="000A5151" w:rsidRPr="00335FC4" w:rsidRDefault="000A5151" w:rsidP="000A5151">
            <w:pPr>
              <w:widowControl w:val="0"/>
              <w:jc w:val="both"/>
            </w:pPr>
            <w:r w:rsidRPr="00335FC4">
              <w:t xml:space="preserve">c) Chịu trách nhiệm đền bù chi phí đào tạo theo quy định tại Điều 6, 7, 8 </w:t>
            </w:r>
            <w:r w:rsidRPr="00335FC4">
              <w:rPr>
                <w:i/>
                <w:iCs/>
              </w:rPr>
              <w:t xml:space="preserve">Nghị định số 171/2025/NĐ-CP; </w:t>
            </w:r>
            <w:r w:rsidRPr="00335FC4">
              <w:t>Điều 7, 8 Nghị định 101/2017/NĐ-CP;</w:t>
            </w:r>
          </w:p>
          <w:p w14:paraId="60895A11" w14:textId="77777777" w:rsidR="000A5151" w:rsidRPr="00335FC4" w:rsidRDefault="000A5151" w:rsidP="000A5151">
            <w:pPr>
              <w:widowControl w:val="0"/>
              <w:ind w:firstLine="33"/>
              <w:jc w:val="both"/>
            </w:pPr>
            <w:r w:rsidRPr="00335FC4">
              <w:t>d) Hoàn trả các khoản hỗ trợ nếu thuộc một trong các trường hợp sau đây:</w:t>
            </w:r>
          </w:p>
          <w:p w14:paraId="10511A57" w14:textId="77777777" w:rsidR="000A5151" w:rsidRPr="00335FC4" w:rsidRDefault="000A5151" w:rsidP="000A5151">
            <w:pPr>
              <w:widowControl w:val="0"/>
              <w:ind w:firstLine="33"/>
              <w:jc w:val="both"/>
            </w:pPr>
            <w:r w:rsidRPr="00335FC4">
              <w:t>- Bị buộc thôi học hoặc tự ý bỏ học;</w:t>
            </w:r>
          </w:p>
          <w:p w14:paraId="126C3F1E" w14:textId="77777777" w:rsidR="000A5151" w:rsidRPr="00335FC4" w:rsidRDefault="000A5151" w:rsidP="000A5151">
            <w:pPr>
              <w:widowControl w:val="0"/>
              <w:jc w:val="both"/>
            </w:pPr>
            <w:r w:rsidRPr="00335FC4">
              <w:t>- Sau 12 tháng kể từ ngày được gia hạn vẫn không tốt nghiệp khóa học;</w:t>
            </w:r>
          </w:p>
          <w:p w14:paraId="5DBE2EA0" w14:textId="77777777" w:rsidR="000A5151" w:rsidRPr="00335FC4" w:rsidRDefault="000A5151" w:rsidP="000A5151">
            <w:pPr>
              <w:widowControl w:val="0"/>
              <w:jc w:val="both"/>
            </w:pPr>
            <w:r w:rsidRPr="00335FC4">
              <w:t>- Không trở về công tác tại cơ quan, đơn vị thuộc tỉnh sau khi tốt nghiệp;</w:t>
            </w:r>
          </w:p>
          <w:p w14:paraId="640F89F6" w14:textId="77777777" w:rsidR="000A5151" w:rsidRPr="00335FC4" w:rsidRDefault="000A5151" w:rsidP="000A5151">
            <w:pPr>
              <w:widowControl w:val="0"/>
              <w:ind w:firstLine="33"/>
              <w:jc w:val="both"/>
            </w:pPr>
            <w:r w:rsidRPr="00335FC4">
              <w:t>- Không chấp hành sự phân công, bố trí công tác trong thời gian thực hiện nghĩa vụ đã cam kết;</w:t>
            </w:r>
          </w:p>
          <w:p w14:paraId="432C9A67" w14:textId="77777777" w:rsidR="000A5151" w:rsidRPr="00335FC4" w:rsidRDefault="000A5151" w:rsidP="000A5151">
            <w:pPr>
              <w:widowControl w:val="0"/>
              <w:ind w:firstLine="33"/>
              <w:jc w:val="both"/>
            </w:pPr>
            <w:r w:rsidRPr="00335FC4">
              <w:t>- Bỏ việc, thôi việc hoặc chấm dứt hợp đồng làm việc với cơ quan, đơn vị khi thời gian phục vụ chưa đủ theo thời gian đã cam kết.</w:t>
            </w:r>
          </w:p>
          <w:p w14:paraId="212C3ACF" w14:textId="6A132FC0" w:rsidR="000A5151" w:rsidRPr="00335FC4" w:rsidRDefault="00871F56" w:rsidP="000A5151">
            <w:pPr>
              <w:widowControl w:val="0"/>
              <w:ind w:firstLine="33"/>
              <w:jc w:val="both"/>
            </w:pPr>
            <w:r>
              <w:t xml:space="preserve">- </w:t>
            </w:r>
            <w:r w:rsidR="000A5151" w:rsidRPr="00335FC4">
              <w:t>Các trường hợp có lý do chính đáng và các trường hợp đặc biệt khác do Chủ tịch Ủy ban nhân dân tỉnh xem xét quyết định.</w:t>
            </w:r>
          </w:p>
          <w:p w14:paraId="38D8E56D" w14:textId="77777777" w:rsidR="000A5151" w:rsidRPr="00335FC4" w:rsidRDefault="000A5151" w:rsidP="000A5151">
            <w:pPr>
              <w:widowControl w:val="0"/>
              <w:ind w:firstLine="33"/>
              <w:jc w:val="both"/>
            </w:pPr>
            <w:r w:rsidRPr="00335FC4">
              <w:t>- Thời gian hoàn trả: Chậm nhất trong thời hạn 120 ngày, kể từ ngày cơ quan có thẩm quyền có quyết định thu hồi.</w:t>
            </w:r>
          </w:p>
          <w:p w14:paraId="73E65259" w14:textId="77777777" w:rsidR="000A5151" w:rsidRPr="00335FC4" w:rsidRDefault="000A5151" w:rsidP="000A5151">
            <w:pPr>
              <w:widowControl w:val="0"/>
              <w:ind w:firstLine="33"/>
              <w:jc w:val="both"/>
            </w:pPr>
            <w:r w:rsidRPr="00335FC4">
              <w:t>đ) Nếu bị cơ sở đào tạo buộc thôi học hoặc tự ý bỏ học thì sẽ bị xử lý kỷ luật theo quy định của Luật Cán bộ, công chức và Luật Viên chức.</w:t>
            </w:r>
          </w:p>
          <w:p w14:paraId="34B0FDDC" w14:textId="1571C830" w:rsidR="000A5151" w:rsidRPr="00335FC4" w:rsidRDefault="000A5151" w:rsidP="000A5151">
            <w:pPr>
              <w:widowControl w:val="0"/>
              <w:jc w:val="both"/>
            </w:pPr>
          </w:p>
        </w:tc>
        <w:tc>
          <w:tcPr>
            <w:tcW w:w="2870" w:type="dxa"/>
            <w:vMerge/>
          </w:tcPr>
          <w:p w14:paraId="0507C1A9" w14:textId="230784B1" w:rsidR="000A5151" w:rsidRPr="00335FC4" w:rsidRDefault="000A5151" w:rsidP="000A5151">
            <w:pPr>
              <w:widowControl w:val="0"/>
              <w:jc w:val="both"/>
            </w:pPr>
          </w:p>
        </w:tc>
      </w:tr>
      <w:tr w:rsidR="00335FC4" w:rsidRPr="00335FC4" w14:paraId="2B51E2FF" w14:textId="77777777" w:rsidTr="00A40F40">
        <w:trPr>
          <w:cantSplit/>
        </w:trPr>
        <w:tc>
          <w:tcPr>
            <w:tcW w:w="6776" w:type="dxa"/>
          </w:tcPr>
          <w:p w14:paraId="55B4F533" w14:textId="77777777" w:rsidR="00C07C5B" w:rsidRPr="00335FC4" w:rsidRDefault="00C07C5B" w:rsidP="00261F68">
            <w:pPr>
              <w:widowControl w:val="0"/>
              <w:shd w:val="solid" w:color="FFFFFF" w:fill="auto"/>
              <w:spacing w:after="120"/>
              <w:jc w:val="both"/>
            </w:pPr>
            <w:bookmarkStart w:id="22" w:name="dieu_13"/>
            <w:r w:rsidRPr="00335FC4">
              <w:rPr>
                <w:b/>
                <w:bCs/>
                <w:lang w:val="de-DE"/>
              </w:rPr>
              <w:lastRenderedPageBreak/>
              <w:t>Điều 13. Kinh phí thực hiện</w:t>
            </w:r>
            <w:bookmarkEnd w:id="22"/>
          </w:p>
          <w:p w14:paraId="1A2F7B2C" w14:textId="77777777" w:rsidR="00C07C5B" w:rsidRPr="00335FC4" w:rsidRDefault="00C07C5B" w:rsidP="00261F68">
            <w:pPr>
              <w:widowControl w:val="0"/>
              <w:shd w:val="solid" w:color="FFFFFF" w:fill="auto"/>
              <w:spacing w:after="120"/>
              <w:jc w:val="both"/>
            </w:pPr>
            <w:r w:rsidRPr="00335FC4">
              <w:rPr>
                <w:lang w:val="pt-BR"/>
              </w:rPr>
              <w:t>1. </w:t>
            </w:r>
            <w:r w:rsidRPr="00335FC4">
              <w:rPr>
                <w:lang w:val="vi-VN"/>
              </w:rPr>
              <w:t>Đối </w:t>
            </w:r>
            <w:r w:rsidRPr="00335FC4">
              <w:rPr>
                <w:lang w:val="pt-BR"/>
              </w:rPr>
              <w:t>với cán bộ, công chức:</w:t>
            </w:r>
          </w:p>
          <w:p w14:paraId="2A951210" w14:textId="77777777" w:rsidR="00C07C5B" w:rsidRPr="00335FC4" w:rsidRDefault="00C07C5B" w:rsidP="00261F68">
            <w:pPr>
              <w:widowControl w:val="0"/>
              <w:shd w:val="solid" w:color="FFFFFF" w:fill="auto"/>
              <w:spacing w:after="120"/>
              <w:jc w:val="both"/>
            </w:pPr>
            <w:r w:rsidRPr="00335FC4">
              <w:rPr>
                <w:lang w:val="pt-BR"/>
              </w:rPr>
              <w:t>a) </w:t>
            </w:r>
            <w:r w:rsidRPr="00335FC4">
              <w:rPr>
                <w:lang w:val="vi-VN"/>
              </w:rPr>
              <w:t>Ngân </w:t>
            </w:r>
            <w:r w:rsidRPr="00335FC4">
              <w:rPr>
                <w:lang w:val="pt-BR"/>
              </w:rPr>
              <w:t>sách cấp tỉnh bảo đảm chi cho các đối tượng là cán bộ, công chức các cơ quan cấp tỉnh được cử đi đào tạo ở trong nước và cán bộ, công chức được cử đi đào tạo ở nước ngoài;</w:t>
            </w:r>
          </w:p>
          <w:p w14:paraId="33E2C9CD" w14:textId="77777777" w:rsidR="00C07C5B" w:rsidRPr="00335FC4" w:rsidRDefault="00C07C5B" w:rsidP="00261F68">
            <w:pPr>
              <w:widowControl w:val="0"/>
              <w:shd w:val="solid" w:color="FFFFFF" w:fill="auto"/>
              <w:spacing w:after="120"/>
              <w:jc w:val="both"/>
            </w:pPr>
            <w:r w:rsidRPr="00335FC4">
              <w:rPr>
                <w:lang w:val="pt-BR"/>
              </w:rPr>
              <w:t>b) </w:t>
            </w:r>
            <w:r w:rsidRPr="00335FC4">
              <w:rPr>
                <w:lang w:val="vi-VN"/>
              </w:rPr>
              <w:t>Ngân </w:t>
            </w:r>
            <w:r w:rsidRPr="00335FC4">
              <w:rPr>
                <w:lang w:val="pt-BR"/>
              </w:rPr>
              <w:t>sách cấp huyện bảo đảm chi cho các đối tượng là cán bộ, công chức các cơ quan cấp huyện và cấp xã được cử đi đào tạo ở trong nước.</w:t>
            </w:r>
          </w:p>
          <w:p w14:paraId="1E649D15" w14:textId="77777777" w:rsidR="00C07C5B" w:rsidRPr="00335FC4" w:rsidRDefault="00C07C5B" w:rsidP="00261F68">
            <w:pPr>
              <w:widowControl w:val="0"/>
              <w:shd w:val="solid" w:color="FFFFFF" w:fill="auto"/>
              <w:spacing w:after="120"/>
              <w:jc w:val="both"/>
            </w:pPr>
            <w:r w:rsidRPr="00335FC4">
              <w:rPr>
                <w:lang w:val="pt-BR"/>
              </w:rPr>
              <w:t>2. Đối với viên chức trong các đơn vị sự nghiệp công lập:</w:t>
            </w:r>
          </w:p>
          <w:p w14:paraId="14EAFFC7" w14:textId="77777777" w:rsidR="00C07C5B" w:rsidRPr="00335FC4" w:rsidRDefault="00C07C5B" w:rsidP="00261F68">
            <w:pPr>
              <w:widowControl w:val="0"/>
              <w:spacing w:after="120"/>
              <w:jc w:val="both"/>
            </w:pPr>
            <w:r w:rsidRPr="00335FC4">
              <w:rPr>
                <w:lang w:val="pt-BR"/>
              </w:rPr>
              <w:t>a) Được bố trí từ nguồn kinh phí của đơn vị sự nghiệp công lập và các nguồn hỗ trợ hợp pháp khác;</w:t>
            </w:r>
          </w:p>
          <w:p w14:paraId="16634445" w14:textId="77777777" w:rsidR="00C07C5B" w:rsidRPr="00335FC4" w:rsidRDefault="00C07C5B" w:rsidP="00261F68">
            <w:pPr>
              <w:widowControl w:val="0"/>
              <w:spacing w:after="120"/>
              <w:jc w:val="both"/>
            </w:pPr>
            <w:r w:rsidRPr="00335FC4">
              <w:rPr>
                <w:lang w:val="pt-BR"/>
              </w:rPr>
              <w:t>b) Đối với các đơn vị sự nghiệp</w:t>
            </w:r>
            <w:r w:rsidRPr="00335FC4">
              <w:rPr>
                <w:shd w:val="solid" w:color="FFFFFF" w:fill="auto"/>
                <w:lang w:val="vi-VN"/>
              </w:rPr>
              <w:t> tự bảo đảm một phần chi thường xuyên và đơn vị sự nghiệp do ngân sách nhà nước bảo đảm ch</w:t>
            </w:r>
            <w:r w:rsidRPr="00335FC4">
              <w:rPr>
                <w:shd w:val="solid" w:color="FFFFFF" w:fill="auto"/>
              </w:rPr>
              <w:t>i </w:t>
            </w:r>
            <w:r w:rsidRPr="00335FC4">
              <w:rPr>
                <w:shd w:val="solid" w:color="FFFFFF" w:fill="auto"/>
                <w:lang w:val="vi-VN"/>
              </w:rPr>
              <w:t>thường xuyên</w:t>
            </w:r>
            <w:r w:rsidRPr="00335FC4">
              <w:rPr>
                <w:lang w:val="vi-VN"/>
              </w:rPr>
              <w:t xml:space="preserve"> </w:t>
            </w:r>
            <w:r w:rsidRPr="00335FC4">
              <w:rPr>
                <w:lang w:val="pt-BR"/>
              </w:rPr>
              <w:t>nếu nguồn kinh phí của đơn vị không đáp ứng để thực hiện chính sách thì được ngân sách nhà nước xem xét hỗ trợ theo phân cấp ngân sách.</w:t>
            </w:r>
          </w:p>
          <w:p w14:paraId="793ECFC6" w14:textId="77777777" w:rsidR="00C07C5B" w:rsidRPr="00335FC4" w:rsidRDefault="00C07C5B" w:rsidP="00261F68">
            <w:pPr>
              <w:widowControl w:val="0"/>
              <w:shd w:val="solid" w:color="FFFFFF" w:fill="auto"/>
              <w:spacing w:after="120"/>
              <w:jc w:val="both"/>
            </w:pPr>
            <w:r w:rsidRPr="00335FC4">
              <w:rPr>
                <w:lang w:val="pt-BR"/>
              </w:rPr>
              <w:t>3. Các cơ quan, đơn vị có cán bộ, công chức, viên chức được cử đi đào tạo sử dụng kinh phí thường xuyên và nguồn kinh phí khác của cơ quan, đơn vị để chi hỗ trợ cho cán bộ, công chức, viên chức các khoản chi phí sau:</w:t>
            </w:r>
          </w:p>
          <w:p w14:paraId="79B5CE6B" w14:textId="77777777" w:rsidR="00C07C5B" w:rsidRPr="00335FC4" w:rsidRDefault="00C07C5B" w:rsidP="00261F68">
            <w:pPr>
              <w:widowControl w:val="0"/>
              <w:shd w:val="solid" w:color="FFFFFF" w:fill="auto"/>
              <w:spacing w:after="120"/>
              <w:jc w:val="both"/>
            </w:pPr>
            <w:r w:rsidRPr="00335FC4">
              <w:rPr>
                <w:lang w:val="pt-BR"/>
              </w:rPr>
              <w:t>a) Một phần tiền ăn cho học viên trong thời gian đi học tập trung;</w:t>
            </w:r>
          </w:p>
          <w:p w14:paraId="4EBCE9DD" w14:textId="77777777" w:rsidR="00C07C5B" w:rsidRPr="00335FC4" w:rsidRDefault="00C07C5B" w:rsidP="00261F68">
            <w:pPr>
              <w:widowControl w:val="0"/>
              <w:shd w:val="solid" w:color="FFFFFF" w:fill="auto"/>
              <w:spacing w:after="120"/>
              <w:jc w:val="both"/>
            </w:pPr>
            <w:r w:rsidRPr="00335FC4">
              <w:rPr>
                <w:lang w:val="pt-BR"/>
              </w:rPr>
              <w:t>b) Chi phí đi lại từ cơ quan, đơn vị đến nơi học tập trong trường hợp cử đi đào tạo dài hạn theo hình thức tập trung nhiều đợt, mỗi đợt dưới 01 tháng và trong trường hợp được cử đi đào tạo ở trong tỉnh mà cơ sở đào tạo cách trụ sở cơ quan, đơn vị công tác dưới 15 km;</w:t>
            </w:r>
          </w:p>
          <w:p w14:paraId="40649B07" w14:textId="77777777" w:rsidR="00C07C5B" w:rsidRPr="00335FC4" w:rsidRDefault="00C07C5B" w:rsidP="00261F68">
            <w:pPr>
              <w:widowControl w:val="0"/>
              <w:shd w:val="solid" w:color="FFFFFF" w:fill="auto"/>
              <w:spacing w:after="120"/>
              <w:jc w:val="both"/>
            </w:pPr>
            <w:r w:rsidRPr="00335FC4">
              <w:rPr>
                <w:lang w:val="pt-BR"/>
              </w:rPr>
              <w:t>c) Tiền thuê chỗ ở trong trường hợp cơ sở đào tạo xác nhận không bố trí được chỗ ở;</w:t>
            </w:r>
          </w:p>
          <w:p w14:paraId="131BD32D" w14:textId="50675A34" w:rsidR="00C07C5B" w:rsidRPr="00335FC4" w:rsidRDefault="00C07C5B" w:rsidP="00261F68">
            <w:pPr>
              <w:widowControl w:val="0"/>
              <w:shd w:val="solid" w:color="FFFFFF" w:fill="auto"/>
              <w:spacing w:after="120"/>
              <w:jc w:val="both"/>
            </w:pPr>
            <w:r w:rsidRPr="00335FC4">
              <w:rPr>
                <w:lang w:val="pt-BR"/>
              </w:rPr>
              <w:t>d) Mức chi hỗ trợ không vượt quá mức chi chế độ công tác phí hiện hành.</w:t>
            </w:r>
          </w:p>
        </w:tc>
        <w:tc>
          <w:tcPr>
            <w:tcW w:w="5528" w:type="dxa"/>
          </w:tcPr>
          <w:p w14:paraId="60DC047F" w14:textId="77777777" w:rsidR="00C07C5B" w:rsidRPr="00335FC4" w:rsidRDefault="00C07C5B" w:rsidP="00261F68">
            <w:pPr>
              <w:widowControl w:val="0"/>
              <w:spacing w:after="120"/>
              <w:ind w:firstLine="33"/>
              <w:jc w:val="both"/>
            </w:pPr>
            <w:r w:rsidRPr="00335FC4">
              <w:rPr>
                <w:b/>
                <w:bCs/>
              </w:rPr>
              <w:t>Điều 10. Kinh phí thực hiện</w:t>
            </w:r>
          </w:p>
          <w:p w14:paraId="73A56808" w14:textId="77777777" w:rsidR="00C07C5B" w:rsidRPr="00335FC4" w:rsidRDefault="00C07C5B" w:rsidP="00261F68">
            <w:pPr>
              <w:widowControl w:val="0"/>
              <w:spacing w:after="120"/>
              <w:ind w:firstLine="33"/>
              <w:jc w:val="both"/>
            </w:pPr>
            <w:r w:rsidRPr="00335FC4">
              <w:t>1. Kinh phí đào tạo, bồi dưỡng công chức được đảm bảo từ nguồn ngân sách nhà nước bố trí trong dự toán chi thường xuyên của cơ quan, đơn vị sử dụng công chức theo quy định của pháp luật về ngân sách nhà nước; kinh phí của cơ quan quản lý, đơn vị sử dụng công chức; đóng góp của công chức; tài trợ của tổ chức, cá nhân trong và ngoài nước theo quy định của pháp luật.</w:t>
            </w:r>
          </w:p>
          <w:p w14:paraId="2B94EA54" w14:textId="77777777" w:rsidR="00C07C5B" w:rsidRPr="00335FC4" w:rsidRDefault="00C07C5B" w:rsidP="00261F68">
            <w:pPr>
              <w:widowControl w:val="0"/>
              <w:spacing w:after="120"/>
              <w:ind w:firstLine="33"/>
              <w:jc w:val="both"/>
            </w:pPr>
            <w:r w:rsidRPr="00335FC4">
              <w:t>2. Kinh phí đào tạo, bồi dưỡng viên chức do viên chức đóng góp, nguồn tài chính của đơn vị sự nghiệp công lập và các nguồn khác bảo đảm theo quy định của pháp luật.</w:t>
            </w:r>
          </w:p>
          <w:p w14:paraId="0AEE4FE4" w14:textId="77777777" w:rsidR="00C07C5B" w:rsidRPr="00335FC4" w:rsidRDefault="00C07C5B" w:rsidP="00261F68">
            <w:pPr>
              <w:widowControl w:val="0"/>
              <w:spacing w:after="120"/>
              <w:ind w:firstLine="33"/>
              <w:jc w:val="both"/>
            </w:pPr>
            <w:r w:rsidRPr="00335FC4">
              <w:t>a) Đối với đơn vị sự nghiệp công lập tự bảo đảm một phần chi thường xuyên và đơn vị sự nghiệp công lập do ngân sách nhà nước bảo đảm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14:paraId="737B9A38" w14:textId="77777777" w:rsidR="00C07C5B" w:rsidRPr="00335FC4" w:rsidRDefault="00C07C5B" w:rsidP="00261F68">
            <w:pPr>
              <w:widowControl w:val="0"/>
              <w:spacing w:after="120"/>
              <w:ind w:firstLine="33"/>
              <w:jc w:val="both"/>
            </w:pPr>
            <w:r w:rsidRPr="00335FC4">
              <w:t>b) Đối với đơn vị sự nghiệp công lập tự bảo đảm chi thường xuyên và chi đầu tư, đơn vị sự nghiệp công lập tự bảo đảm chi thường xuyên: Kinh phí do đơn vị tự đảm bảo từ nguồn tài chính của đơn vị, Quỹ phát triển hoạt động sự nghiệp theo quy định về cơ chế tự chủ tài chính của đơn vị sự nghiệp công lập.</w:t>
            </w:r>
          </w:p>
          <w:p w14:paraId="67D83F9E" w14:textId="77777777" w:rsidR="00C07C5B" w:rsidRPr="00335FC4" w:rsidRDefault="00C07C5B" w:rsidP="00261F68">
            <w:pPr>
              <w:widowControl w:val="0"/>
              <w:spacing w:after="120"/>
              <w:ind w:firstLine="33"/>
              <w:jc w:val="both"/>
            </w:pPr>
            <w:r w:rsidRPr="00335FC4">
              <w:t>3. Trường hợp kinh phí đào tạo, bồi dưỡng công chức, viên chức theo các Chương trình/Đề án/Dự án được cấp có thẩm quyền phê duyệt thì nguồn kinh phí thực hiện theo các Chương trình/Đề án/Dự án đó.</w:t>
            </w:r>
          </w:p>
          <w:p w14:paraId="2D811933" w14:textId="48513019" w:rsidR="00C07C5B" w:rsidRPr="00335FC4" w:rsidRDefault="00C07C5B" w:rsidP="00261F68">
            <w:pPr>
              <w:widowControl w:val="0"/>
              <w:spacing w:after="120"/>
              <w:jc w:val="both"/>
            </w:pPr>
          </w:p>
        </w:tc>
        <w:tc>
          <w:tcPr>
            <w:tcW w:w="2870" w:type="dxa"/>
          </w:tcPr>
          <w:p w14:paraId="4CB087AD" w14:textId="1A8FE245" w:rsidR="00C07C5B" w:rsidRPr="00335FC4" w:rsidRDefault="00CA28E0" w:rsidP="00261F68">
            <w:pPr>
              <w:widowControl w:val="0"/>
              <w:jc w:val="both"/>
            </w:pPr>
            <w:r w:rsidRPr="00335FC4">
              <w:t xml:space="preserve">Cập </w:t>
            </w:r>
            <w:r w:rsidR="00C07C5B" w:rsidRPr="00335FC4">
              <w:t>nhật lại theo đúng quy định tại Thông tư 100/2025/TT-BTC.</w:t>
            </w:r>
          </w:p>
        </w:tc>
      </w:tr>
      <w:tr w:rsidR="00335FC4" w:rsidRPr="00335FC4" w14:paraId="26733894" w14:textId="77777777" w:rsidTr="00A40F40">
        <w:trPr>
          <w:cantSplit/>
        </w:trPr>
        <w:tc>
          <w:tcPr>
            <w:tcW w:w="6776" w:type="dxa"/>
          </w:tcPr>
          <w:p w14:paraId="22D1FCC1" w14:textId="77777777" w:rsidR="00C07C5B" w:rsidRPr="00335FC4" w:rsidRDefault="00C07C5B" w:rsidP="00261F68">
            <w:pPr>
              <w:widowControl w:val="0"/>
              <w:shd w:val="solid" w:color="FFFFFF" w:fill="auto"/>
              <w:spacing w:after="120"/>
              <w:jc w:val="both"/>
            </w:pPr>
            <w:bookmarkStart w:id="23" w:name="dieu_14"/>
            <w:r w:rsidRPr="00335FC4">
              <w:rPr>
                <w:b/>
                <w:bCs/>
                <w:lang w:val="pt-BR"/>
              </w:rPr>
              <w:lastRenderedPageBreak/>
              <w:t>Điều 14. Điều khoản chuyển tiếp</w:t>
            </w:r>
            <w:bookmarkEnd w:id="23"/>
          </w:p>
          <w:p w14:paraId="40F1DE33" w14:textId="6CDA3973" w:rsidR="00C07C5B" w:rsidRPr="00335FC4" w:rsidRDefault="00C07C5B" w:rsidP="00261F68">
            <w:pPr>
              <w:widowControl w:val="0"/>
              <w:spacing w:after="120"/>
              <w:ind w:firstLine="171"/>
              <w:jc w:val="both"/>
            </w:pPr>
            <w:r w:rsidRPr="00335FC4">
              <w:rPr>
                <w:lang w:val="pt-BR"/>
              </w:rPr>
              <w:t>Cán bộ, công chức, viên chức đi học trước ngày Nghị quyết ban hành quy định này có hiệu lực thi hành thì tiếp tục hưởng chính sách trợ cấp theo Nghị quyết số 38/2015/NQ-HĐND ngày 25 tháng 12 năm 2015 của Hội đồng nhân dân tỉnh./.</w:t>
            </w:r>
          </w:p>
        </w:tc>
        <w:tc>
          <w:tcPr>
            <w:tcW w:w="5528" w:type="dxa"/>
          </w:tcPr>
          <w:p w14:paraId="31DCECB8" w14:textId="77777777" w:rsidR="008A0409" w:rsidRPr="008A0409" w:rsidRDefault="008A0409" w:rsidP="008A0409">
            <w:pPr>
              <w:spacing w:after="120"/>
              <w:jc w:val="both"/>
            </w:pPr>
            <w:r w:rsidRPr="008A0409">
              <w:rPr>
                <w:b/>
                <w:bCs/>
              </w:rPr>
              <w:t>Điều 11. Điều khoản chuyển tiếp</w:t>
            </w:r>
          </w:p>
          <w:p w14:paraId="19E616BB" w14:textId="037211D5" w:rsidR="008A0409" w:rsidRPr="008A0409" w:rsidRDefault="008A0409" w:rsidP="008A0409">
            <w:pPr>
              <w:widowControl w:val="0"/>
              <w:spacing w:after="120"/>
              <w:jc w:val="both"/>
              <w:rPr>
                <w:lang w:val="vi-VN"/>
              </w:rPr>
            </w:pPr>
            <w:r w:rsidRPr="008A0409">
              <w:t xml:space="preserve">Cán bộ, công chức, viên chức đi học trước ngày Nghị quyết này có hiệu lực thi hành thì tiếp tục hưởng chính sách trợ cấp theo quy định tại Nghị quyết số 25/2019/NQ-HĐND ngày 11 tháng 7 năm 2019 của Hội đồng nhân dân tỉnh Bình Định quy định chính sách trợ cấp đối với cán bộ, công chức, viên chức được cử đi đào tạo </w:t>
            </w:r>
            <w:r w:rsidRPr="008A0409">
              <w:rPr>
                <w:i/>
              </w:rPr>
              <w:t>(được tiếp tục áp dụng trên địa bàn tỉnh Gia Lai sau sắp xếp theo Nghị quyết số 103/NQ-HĐND ngày 09</w:t>
            </w:r>
            <w:r w:rsidRPr="008A0409">
              <w:rPr>
                <w:i/>
                <w:lang w:val="vi-VN"/>
              </w:rPr>
              <w:t>/</w:t>
            </w:r>
            <w:r w:rsidRPr="008A0409">
              <w:rPr>
                <w:i/>
              </w:rPr>
              <w:t>12</w:t>
            </w:r>
            <w:r w:rsidRPr="008A0409">
              <w:rPr>
                <w:i/>
                <w:lang w:val="vi-VN"/>
              </w:rPr>
              <w:t>/</w:t>
            </w:r>
            <w:r w:rsidRPr="008A0409">
              <w:rPr>
                <w:i/>
              </w:rPr>
              <w:t>2025 của Hội đồng nhân dân tỉnh Gia Lai).</w:t>
            </w:r>
          </w:p>
        </w:tc>
        <w:tc>
          <w:tcPr>
            <w:tcW w:w="2870" w:type="dxa"/>
          </w:tcPr>
          <w:p w14:paraId="6269A88B" w14:textId="11C11C8F" w:rsidR="00C07C5B" w:rsidRPr="003C4D6C" w:rsidRDefault="003C4D6C" w:rsidP="00261F68">
            <w:pPr>
              <w:widowControl w:val="0"/>
              <w:jc w:val="both"/>
              <w:rPr>
                <w:lang w:val="vi-VN"/>
              </w:rPr>
            </w:pPr>
            <w:r>
              <w:t>Cơ</w:t>
            </w:r>
            <w:r>
              <w:rPr>
                <w:lang w:val="vi-VN"/>
              </w:rPr>
              <w:t xml:space="preserve"> bản g</w:t>
            </w:r>
            <w:r w:rsidR="00C07C5B" w:rsidRPr="00335FC4">
              <w:t>iữ nguyên như Nghị quyết 25/2019/NQ-</w:t>
            </w:r>
            <w:r>
              <w:t>HĐND</w:t>
            </w:r>
            <w:r>
              <w:rPr>
                <w:lang w:val="vi-VN"/>
              </w:rPr>
              <w:t xml:space="preserve"> và cập nhật lại văn bản được tiếp tục áp dụng.</w:t>
            </w:r>
          </w:p>
          <w:p w14:paraId="2B02D35C" w14:textId="216BAAEE" w:rsidR="00C07C5B" w:rsidRPr="00335FC4" w:rsidRDefault="00C07C5B" w:rsidP="00261F68">
            <w:pPr>
              <w:pStyle w:val="NormalWeb"/>
              <w:widowControl w:val="0"/>
              <w:autoSpaceDE w:val="0"/>
              <w:autoSpaceDN w:val="0"/>
              <w:spacing w:before="0" w:beforeAutospacing="0" w:after="120" w:afterAutospacing="0"/>
              <w:ind w:firstLine="274"/>
              <w:jc w:val="both"/>
            </w:pPr>
          </w:p>
        </w:tc>
      </w:tr>
      <w:tr w:rsidR="007F38DB" w:rsidRPr="00335FC4" w14:paraId="01C38BEC" w14:textId="77777777" w:rsidTr="00A40F40">
        <w:trPr>
          <w:cantSplit/>
        </w:trPr>
        <w:tc>
          <w:tcPr>
            <w:tcW w:w="6776" w:type="dxa"/>
          </w:tcPr>
          <w:p w14:paraId="79014D86" w14:textId="77777777" w:rsidR="007F38DB" w:rsidRPr="00335FC4" w:rsidRDefault="007F38DB" w:rsidP="00261F68">
            <w:pPr>
              <w:widowControl w:val="0"/>
              <w:shd w:val="solid" w:color="FFFFFF" w:fill="auto"/>
              <w:spacing w:after="120"/>
              <w:jc w:val="both"/>
              <w:rPr>
                <w:b/>
                <w:bCs/>
                <w:lang w:val="pt-BR"/>
              </w:rPr>
            </w:pPr>
          </w:p>
        </w:tc>
        <w:tc>
          <w:tcPr>
            <w:tcW w:w="5528" w:type="dxa"/>
          </w:tcPr>
          <w:p w14:paraId="2252235B" w14:textId="77777777" w:rsidR="00BF5032" w:rsidRPr="00BF5032" w:rsidRDefault="00BF5032" w:rsidP="00D82991">
            <w:pPr>
              <w:jc w:val="both"/>
              <w:rPr>
                <w:b/>
                <w:bCs/>
              </w:rPr>
            </w:pPr>
            <w:r w:rsidRPr="00BF5032">
              <w:rPr>
                <w:b/>
                <w:bCs/>
              </w:rPr>
              <w:t>Điều 12.</w:t>
            </w:r>
            <w:r w:rsidRPr="00BF5032">
              <w:t xml:space="preserve"> </w:t>
            </w:r>
            <w:r w:rsidRPr="00BF5032">
              <w:rPr>
                <w:b/>
                <w:bCs/>
              </w:rPr>
              <w:t>Tổ chức thực hiện</w:t>
            </w:r>
          </w:p>
          <w:p w14:paraId="4423297C" w14:textId="77777777" w:rsidR="00BF5032" w:rsidRPr="00BF5032" w:rsidRDefault="00BF5032" w:rsidP="00D82991">
            <w:pPr>
              <w:jc w:val="both"/>
            </w:pPr>
            <w:r w:rsidRPr="00BF5032">
              <w:t xml:space="preserve">1. Ủy ban nhân dân tỉnh tổ chức triển khai thực hiện Nghị quyết này. </w:t>
            </w:r>
          </w:p>
          <w:p w14:paraId="420807D0" w14:textId="3B5F1B2A" w:rsidR="007F38DB" w:rsidRPr="00D82991" w:rsidRDefault="00BF5032" w:rsidP="00D82991">
            <w:pPr>
              <w:jc w:val="both"/>
              <w:rPr>
                <w:b/>
                <w:lang w:val="en-US"/>
              </w:rPr>
            </w:pPr>
            <w:r w:rsidRPr="00BF5032">
              <w:t>2. Thường trực Hội đồng nhân dân tỉnh, các Ban Hội đồng nhân dân tỉnh, Tổ đại biểu Hội đồng nhân dân tỉnh và đại biểu Hội đồng nhân dân tỉnh trong phạm vi nhiệm vụ, quyền hạn của mình, giám sát việc thực hiện Nghị quyết này.</w:t>
            </w:r>
          </w:p>
        </w:tc>
        <w:tc>
          <w:tcPr>
            <w:tcW w:w="2870" w:type="dxa"/>
          </w:tcPr>
          <w:p w14:paraId="49209366" w14:textId="2A2C8ABD" w:rsidR="007F38DB" w:rsidRPr="00BD599C" w:rsidRDefault="00BD599C" w:rsidP="00261F68">
            <w:pPr>
              <w:widowControl w:val="0"/>
              <w:jc w:val="both"/>
              <w:rPr>
                <w:lang w:val="vi-VN"/>
              </w:rPr>
            </w:pPr>
            <w:r>
              <w:t>Bổ</w:t>
            </w:r>
            <w:r>
              <w:rPr>
                <w:lang w:val="vi-VN"/>
              </w:rPr>
              <w:t xml:space="preserve"> sung </w:t>
            </w:r>
            <w:r w:rsidR="00D3277B">
              <w:rPr>
                <w:lang w:val="en-US"/>
              </w:rPr>
              <w:t xml:space="preserve">theo quy định </w:t>
            </w:r>
            <w:r>
              <w:rPr>
                <w:lang w:val="vi-VN"/>
              </w:rPr>
              <w:t xml:space="preserve">ban hành </w:t>
            </w:r>
            <w:r w:rsidR="0000443A">
              <w:rPr>
                <w:lang w:val="vi-VN"/>
              </w:rPr>
              <w:t xml:space="preserve">văn bản </w:t>
            </w:r>
            <w:r>
              <w:rPr>
                <w:lang w:val="vi-VN"/>
              </w:rPr>
              <w:t xml:space="preserve">quy định trực </w:t>
            </w:r>
            <w:r w:rsidR="00AC5A94">
              <w:rPr>
                <w:lang w:val="vi-VN"/>
              </w:rPr>
              <w:t>ti</w:t>
            </w:r>
            <w:r>
              <w:rPr>
                <w:lang w:val="vi-VN"/>
              </w:rPr>
              <w:t>ếp.</w:t>
            </w:r>
          </w:p>
        </w:tc>
      </w:tr>
      <w:tr w:rsidR="00D3277B" w:rsidRPr="00335FC4" w14:paraId="5CD93619" w14:textId="77777777" w:rsidTr="00A40F40">
        <w:trPr>
          <w:cantSplit/>
        </w:trPr>
        <w:tc>
          <w:tcPr>
            <w:tcW w:w="6776" w:type="dxa"/>
          </w:tcPr>
          <w:p w14:paraId="4CF491D2" w14:textId="77777777" w:rsidR="00D3277B" w:rsidRPr="00335FC4" w:rsidRDefault="00D3277B" w:rsidP="00D3277B">
            <w:pPr>
              <w:widowControl w:val="0"/>
              <w:shd w:val="solid" w:color="FFFFFF" w:fill="auto"/>
              <w:spacing w:after="120"/>
              <w:jc w:val="both"/>
              <w:rPr>
                <w:b/>
                <w:bCs/>
                <w:lang w:val="pt-BR"/>
              </w:rPr>
            </w:pPr>
          </w:p>
        </w:tc>
        <w:tc>
          <w:tcPr>
            <w:tcW w:w="5528" w:type="dxa"/>
          </w:tcPr>
          <w:p w14:paraId="13FD56C5" w14:textId="77777777" w:rsidR="00D3277B" w:rsidRPr="00BF5032" w:rsidRDefault="00D3277B" w:rsidP="00D3277B">
            <w:pPr>
              <w:jc w:val="both"/>
              <w:rPr>
                <w:b/>
              </w:rPr>
            </w:pPr>
            <w:r w:rsidRPr="00BF5032">
              <w:rPr>
                <w:b/>
              </w:rPr>
              <w:t>Điều 13. Điều khoản thi hành</w:t>
            </w:r>
          </w:p>
          <w:p w14:paraId="78F67671" w14:textId="77777777" w:rsidR="00D3277B" w:rsidRPr="00BF5032" w:rsidRDefault="00D3277B" w:rsidP="00D3277B">
            <w:pPr>
              <w:jc w:val="both"/>
            </w:pPr>
            <w:r w:rsidRPr="00BF5032">
              <w:t>1. Nghị quyết này có hiệu lực từ ngày …. tháng … năm 2026.</w:t>
            </w:r>
          </w:p>
          <w:p w14:paraId="222AB3B4" w14:textId="77777777" w:rsidR="00D3277B" w:rsidRPr="00BF5032" w:rsidRDefault="00D3277B" w:rsidP="00D3277B">
            <w:pPr>
              <w:widowControl w:val="0"/>
              <w:jc w:val="both"/>
            </w:pPr>
            <w:r w:rsidRPr="00BF5032">
              <w:t>2. Nghị quyết số 25/2019/NQ-HĐND ngày 11 tháng 7 năm 2019 của Hội đồng nhân dân tỉnh Bình Định quy định chính sách trợ cấp đối với cán bộ, công chức, viên chức được cử đi đào tạo hết hiệu lực kể từ ngày Nghị quyết này có hiệu lực thi hành, trừ quy định tại Điều 11 Nghị quyết này.</w:t>
            </w:r>
          </w:p>
          <w:p w14:paraId="5D8B07D1" w14:textId="5B3CD489" w:rsidR="00D3277B" w:rsidRPr="00BF5032" w:rsidRDefault="00D3277B" w:rsidP="00D3277B">
            <w:pPr>
              <w:jc w:val="both"/>
              <w:rPr>
                <w:b/>
                <w:bCs/>
              </w:rPr>
            </w:pPr>
            <w:r w:rsidRPr="00BF5032">
              <w:rPr>
                <w:i/>
              </w:rPr>
              <w:t>Nghị quyết này đã được Hội đồng nhân dân tỉnh Gia Lai khóa XIII Kỳ họp …… thông qua ngày ….. tháng … năm 2026</w:t>
            </w:r>
            <w:r w:rsidRPr="00BF5032">
              <w:rPr>
                <w:i/>
                <w:iCs/>
              </w:rPr>
              <w:t>.</w:t>
            </w:r>
          </w:p>
        </w:tc>
        <w:tc>
          <w:tcPr>
            <w:tcW w:w="2870" w:type="dxa"/>
          </w:tcPr>
          <w:p w14:paraId="39B7D7A9" w14:textId="17CB4703" w:rsidR="00D3277B" w:rsidRPr="00295BF8" w:rsidRDefault="00D3277B" w:rsidP="00D3277B">
            <w:pPr>
              <w:widowControl w:val="0"/>
              <w:jc w:val="both"/>
              <w:rPr>
                <w:lang w:val="en-US"/>
              </w:rPr>
            </w:pPr>
            <w:r>
              <w:t>Bổ</w:t>
            </w:r>
            <w:r>
              <w:rPr>
                <w:lang w:val="vi-VN"/>
              </w:rPr>
              <w:t xml:space="preserve"> sung </w:t>
            </w:r>
            <w:r>
              <w:rPr>
                <w:lang w:val="en-US"/>
              </w:rPr>
              <w:t xml:space="preserve">theo quy định </w:t>
            </w:r>
            <w:r>
              <w:rPr>
                <w:lang w:val="vi-VN"/>
              </w:rPr>
              <w:t>ban hành văn bản quy định trực tiếp.</w:t>
            </w:r>
          </w:p>
        </w:tc>
      </w:tr>
      <w:tr w:rsidR="00D3277B" w:rsidRPr="00335FC4" w14:paraId="74CF3CBC" w14:textId="77777777" w:rsidTr="00A40F40">
        <w:trPr>
          <w:cantSplit/>
        </w:trPr>
        <w:tc>
          <w:tcPr>
            <w:tcW w:w="6776" w:type="dxa"/>
            <w:vAlign w:val="center"/>
          </w:tcPr>
          <w:p w14:paraId="02C58610" w14:textId="3E70CA47" w:rsidR="00D3277B" w:rsidRPr="003C331C" w:rsidRDefault="00D3277B" w:rsidP="00D3277B">
            <w:pPr>
              <w:widowControl w:val="0"/>
              <w:shd w:val="solid" w:color="FFFFFF" w:fill="auto"/>
              <w:spacing w:after="120"/>
              <w:jc w:val="both"/>
              <w:rPr>
                <w:b/>
                <w:bCs/>
                <w:lang w:val="pt-BR"/>
              </w:rPr>
            </w:pPr>
            <w:r w:rsidRPr="003C331C">
              <w:rPr>
                <w:b/>
                <w:bCs/>
              </w:rPr>
              <w:lastRenderedPageBreak/>
              <w:t>SO SÁNH MỨC CHÊNH LỆCH KINH PHÍ GIỮA 02 NGHỊ QUYẾT (CŨ) VÀ DỰ THẢO NGHỊ QUYẾT ĐANG XÂY DỰNG</w:t>
            </w:r>
          </w:p>
        </w:tc>
        <w:tc>
          <w:tcPr>
            <w:tcW w:w="5528" w:type="dxa"/>
            <w:vAlign w:val="center"/>
          </w:tcPr>
          <w:p w14:paraId="6EB4C364" w14:textId="56DB4A9F" w:rsidR="00D3277B" w:rsidRPr="003C331C" w:rsidRDefault="00D3277B" w:rsidP="00D3277B">
            <w:pPr>
              <w:jc w:val="both"/>
              <w:rPr>
                <w:b/>
              </w:rPr>
            </w:pPr>
          </w:p>
        </w:tc>
        <w:tc>
          <w:tcPr>
            <w:tcW w:w="2870" w:type="dxa"/>
          </w:tcPr>
          <w:p w14:paraId="27B8BA49" w14:textId="77777777" w:rsidR="00D3277B" w:rsidRDefault="00D3277B" w:rsidP="00D3277B">
            <w:pPr>
              <w:widowControl w:val="0"/>
              <w:jc w:val="both"/>
            </w:pPr>
          </w:p>
        </w:tc>
      </w:tr>
      <w:tr w:rsidR="00D3277B" w:rsidRPr="00335FC4" w14:paraId="1A9C1768" w14:textId="77777777" w:rsidTr="00A40F40">
        <w:trPr>
          <w:cantSplit/>
        </w:trPr>
        <w:tc>
          <w:tcPr>
            <w:tcW w:w="6776" w:type="dxa"/>
            <w:vAlign w:val="center"/>
          </w:tcPr>
          <w:p w14:paraId="5824B417" w14:textId="0D0FD3E3" w:rsidR="00D3277B" w:rsidRPr="003C331C" w:rsidRDefault="00D3277B" w:rsidP="00D3277B">
            <w:pPr>
              <w:widowControl w:val="0"/>
              <w:shd w:val="solid" w:color="FFFFFF" w:fill="auto"/>
              <w:spacing w:after="120"/>
              <w:jc w:val="both"/>
              <w:rPr>
                <w:b/>
                <w:bCs/>
                <w:lang w:val="pt-BR"/>
              </w:rPr>
            </w:pPr>
            <w:r w:rsidRPr="003C331C">
              <w:rPr>
                <w:b/>
                <w:bCs/>
              </w:rPr>
              <w:t>Nghị quyết số 25/2019/NQ-HĐND</w:t>
            </w:r>
          </w:p>
        </w:tc>
        <w:tc>
          <w:tcPr>
            <w:tcW w:w="5528" w:type="dxa"/>
            <w:vAlign w:val="center"/>
          </w:tcPr>
          <w:p w14:paraId="131DBBA9" w14:textId="334071D3" w:rsidR="00D3277B" w:rsidRPr="003C331C" w:rsidRDefault="00D3277B" w:rsidP="00D3277B">
            <w:pPr>
              <w:jc w:val="both"/>
              <w:rPr>
                <w:b/>
              </w:rPr>
            </w:pPr>
            <w:r w:rsidRPr="003C331C">
              <w:rPr>
                <w:b/>
                <w:bCs/>
              </w:rPr>
              <w:t>Dự thảo Nghị quyết</w:t>
            </w:r>
          </w:p>
        </w:tc>
        <w:tc>
          <w:tcPr>
            <w:tcW w:w="2870" w:type="dxa"/>
          </w:tcPr>
          <w:p w14:paraId="76B50C0C" w14:textId="77777777" w:rsidR="00D3277B" w:rsidRDefault="00D3277B" w:rsidP="00D3277B">
            <w:pPr>
              <w:widowControl w:val="0"/>
              <w:jc w:val="both"/>
            </w:pPr>
          </w:p>
        </w:tc>
      </w:tr>
      <w:tr w:rsidR="00D3277B" w:rsidRPr="00335FC4" w14:paraId="56577804" w14:textId="77777777" w:rsidTr="00A40F40">
        <w:trPr>
          <w:cantSplit/>
        </w:trPr>
        <w:tc>
          <w:tcPr>
            <w:tcW w:w="6776" w:type="dxa"/>
          </w:tcPr>
          <w:p w14:paraId="52B7E788" w14:textId="77777777" w:rsidR="00D3277B" w:rsidRPr="003C331C" w:rsidRDefault="00D3277B" w:rsidP="00D3277B">
            <w:pPr>
              <w:spacing w:after="120"/>
              <w:ind w:firstLine="132"/>
              <w:jc w:val="both"/>
              <w:rPr>
                <w:color w:val="000000" w:themeColor="text1"/>
              </w:rPr>
            </w:pPr>
            <w:r w:rsidRPr="003C331C">
              <w:rPr>
                <w:color w:val="000000" w:themeColor="text1"/>
              </w:rPr>
              <w:t xml:space="preserve">Tổng mức được hỗ trợ: </w:t>
            </w:r>
          </w:p>
          <w:p w14:paraId="6B43FD25" w14:textId="44EF2FC4" w:rsidR="00D3277B" w:rsidRPr="003C331C" w:rsidRDefault="00D3277B" w:rsidP="00D3277B">
            <w:pPr>
              <w:spacing w:after="120"/>
              <w:ind w:firstLine="720"/>
              <w:jc w:val="both"/>
            </w:pPr>
            <w:r w:rsidRPr="003C331C">
              <w:t>Từ khi Nghị quyết ban hành đến năm 2025, các cơ quan, đơn vị, địa phương thuộc tỉnh Bình Định (trước sắp xếp) đã cử cán bộ, công chức, viên chức đi đào tạo về trung cấp, cao cấp lý luận chính trị; đào tạo trình độ đại học và sau đại học, đủ điều kiện, tiêu chuẩn và phù hợp với yêu cầu, nhiệm vụ phát triển nguồn nhân lực của từng cơ quan, đơn vị, địa phương. Đã thực hiện chi trả chính sách hỗ trợ đối với cán bộ, công chức, viên chức được cử đi đào tạo, với tổng kinh phí là 16.759.249.000 đồng, cụ thể:</w:t>
            </w:r>
          </w:p>
          <w:p w14:paraId="2A53624A" w14:textId="77777777" w:rsidR="00D3277B" w:rsidRPr="003C331C" w:rsidRDefault="00D3277B" w:rsidP="00D3277B">
            <w:pPr>
              <w:spacing w:after="120"/>
              <w:ind w:firstLine="720"/>
            </w:pPr>
            <w:r w:rsidRPr="003C331C">
              <w:t xml:space="preserve">Trong đó: </w:t>
            </w:r>
          </w:p>
          <w:p w14:paraId="5BEE6F72" w14:textId="3B36A1A7" w:rsidR="00D3277B" w:rsidRPr="003C331C" w:rsidRDefault="00D3277B" w:rsidP="00D3277B">
            <w:pPr>
              <w:spacing w:after="120"/>
              <w:ind w:firstLine="720"/>
            </w:pPr>
            <w:r w:rsidRPr="003C331C">
              <w:t>- Trung cấp lý luận chính trị: 570 người.</w:t>
            </w:r>
          </w:p>
          <w:p w14:paraId="65365BF4" w14:textId="02043E6B" w:rsidR="00D3277B" w:rsidRPr="003C331C" w:rsidRDefault="00D3277B" w:rsidP="00D3277B">
            <w:pPr>
              <w:spacing w:after="120"/>
              <w:ind w:firstLine="720"/>
            </w:pPr>
            <w:r w:rsidRPr="003C331C">
              <w:t>- Cao cấp lý luận chính trị: 444 người.</w:t>
            </w:r>
          </w:p>
          <w:p w14:paraId="71727CEC" w14:textId="218DCB59" w:rsidR="00D3277B" w:rsidRPr="003C331C" w:rsidRDefault="00D3277B" w:rsidP="00D3277B">
            <w:pPr>
              <w:spacing w:after="120"/>
              <w:ind w:firstLine="720"/>
            </w:pPr>
            <w:r w:rsidRPr="003C331C">
              <w:t>- Đại học: 134 người.</w:t>
            </w:r>
          </w:p>
          <w:p w14:paraId="502F6F68" w14:textId="341DDFC1" w:rsidR="00D3277B" w:rsidRPr="003C331C" w:rsidRDefault="00D3277B" w:rsidP="00D3277B">
            <w:pPr>
              <w:spacing w:after="120"/>
              <w:ind w:firstLine="720"/>
            </w:pPr>
            <w:r w:rsidRPr="003C331C">
              <w:t>- Bác sĩ chuyên khoa cấp I, cấp II: 60 người</w:t>
            </w:r>
          </w:p>
          <w:p w14:paraId="46D1C46B" w14:textId="0C63EE6B" w:rsidR="00D3277B" w:rsidRPr="003C331C" w:rsidRDefault="00D3277B" w:rsidP="00D3277B">
            <w:pPr>
              <w:spacing w:after="120"/>
              <w:ind w:firstLine="720"/>
            </w:pPr>
            <w:r w:rsidRPr="003C331C">
              <w:t>- Thạc sĩ: 76 người.</w:t>
            </w:r>
          </w:p>
          <w:p w14:paraId="7B27B5D5" w14:textId="77777777" w:rsidR="00D3277B" w:rsidRPr="003C331C" w:rsidRDefault="00D3277B" w:rsidP="00D3277B">
            <w:pPr>
              <w:widowControl w:val="0"/>
              <w:shd w:val="solid" w:color="FFFFFF" w:fill="auto"/>
              <w:spacing w:after="120"/>
              <w:jc w:val="both"/>
              <w:rPr>
                <w:b/>
                <w:bCs/>
              </w:rPr>
            </w:pPr>
          </w:p>
        </w:tc>
        <w:tc>
          <w:tcPr>
            <w:tcW w:w="5528" w:type="dxa"/>
          </w:tcPr>
          <w:p w14:paraId="31C93906" w14:textId="77777777" w:rsidR="00D3277B" w:rsidRPr="003C331C" w:rsidRDefault="00D3277B" w:rsidP="00D3277B">
            <w:pPr>
              <w:ind w:firstLine="132"/>
              <w:rPr>
                <w:b/>
                <w:bCs/>
              </w:rPr>
            </w:pPr>
          </w:p>
          <w:p w14:paraId="3322E187" w14:textId="5BF2074A" w:rsidR="00D3277B" w:rsidRPr="003C331C" w:rsidRDefault="00D3277B" w:rsidP="00D3277B">
            <w:pPr>
              <w:autoSpaceDE w:val="0"/>
              <w:autoSpaceDN w:val="0"/>
              <w:spacing w:before="120" w:after="120"/>
              <w:jc w:val="both"/>
            </w:pPr>
            <w:r w:rsidRPr="003C331C">
              <w:t xml:space="preserve">Dự kiến kinh phí hỗ trợ cho cán bộ, công chức, viên chức trên địa bàn tỉnh Gia Lai (sau sắp xếp) mỗi giai đoạn 5 năm 30.000.000.000 đồng, cụ thể: </w:t>
            </w:r>
          </w:p>
          <w:p w14:paraId="5690F2DC" w14:textId="2331779E" w:rsidR="00D3277B" w:rsidRPr="003C331C" w:rsidRDefault="00D3277B" w:rsidP="00D3277B">
            <w:pPr>
              <w:spacing w:after="120"/>
            </w:pPr>
            <w:r w:rsidRPr="003C331C">
              <w:t xml:space="preserve">          </w:t>
            </w:r>
            <w:r w:rsidR="008648EC">
              <w:t xml:space="preserve">  </w:t>
            </w:r>
            <w:r w:rsidRPr="003C331C">
              <w:t>- Trung cấp lý luận chính trị: 800 người.</w:t>
            </w:r>
          </w:p>
          <w:p w14:paraId="11C1D5FD" w14:textId="247D240D" w:rsidR="00D3277B" w:rsidRPr="003C331C" w:rsidRDefault="00D3277B" w:rsidP="00D3277B">
            <w:pPr>
              <w:spacing w:after="120"/>
              <w:ind w:firstLine="720"/>
            </w:pPr>
            <w:r w:rsidRPr="003C331C">
              <w:t>- Cao cấp lý luận chính trị: 600 người.</w:t>
            </w:r>
          </w:p>
          <w:p w14:paraId="7851B5B5" w14:textId="3670FF9F" w:rsidR="00D3277B" w:rsidRPr="003C331C" w:rsidRDefault="00D3277B" w:rsidP="00D3277B">
            <w:pPr>
              <w:spacing w:after="120"/>
              <w:ind w:firstLine="720"/>
            </w:pPr>
            <w:r w:rsidRPr="003C331C">
              <w:t>- Bác sĩ chuyên khoa cấp I, cấp II: 250 người</w:t>
            </w:r>
          </w:p>
          <w:p w14:paraId="71B4E560" w14:textId="67C93E06" w:rsidR="00D3277B" w:rsidRPr="003C331C" w:rsidRDefault="00D3277B" w:rsidP="00D3277B">
            <w:pPr>
              <w:spacing w:after="120"/>
              <w:ind w:firstLine="720"/>
            </w:pPr>
            <w:r w:rsidRPr="003C331C">
              <w:t>- Thạc sĩ: 500 người.</w:t>
            </w:r>
          </w:p>
          <w:p w14:paraId="279D3F45" w14:textId="77777777" w:rsidR="00D3277B" w:rsidRPr="003C331C" w:rsidRDefault="00D3277B" w:rsidP="00D3277B">
            <w:pPr>
              <w:autoSpaceDE w:val="0"/>
              <w:autoSpaceDN w:val="0"/>
              <w:spacing w:before="120" w:after="120"/>
              <w:jc w:val="both"/>
            </w:pPr>
          </w:p>
          <w:p w14:paraId="3D77B3ED" w14:textId="5C32BE79" w:rsidR="00D3277B" w:rsidRPr="003C331C" w:rsidRDefault="00D3277B" w:rsidP="00D3277B">
            <w:pPr>
              <w:tabs>
                <w:tab w:val="left" w:pos="1116"/>
              </w:tabs>
            </w:pPr>
          </w:p>
        </w:tc>
        <w:tc>
          <w:tcPr>
            <w:tcW w:w="2870" w:type="dxa"/>
          </w:tcPr>
          <w:p w14:paraId="343E5534" w14:textId="77777777" w:rsidR="00D3277B" w:rsidRDefault="00D3277B" w:rsidP="00D3277B">
            <w:pPr>
              <w:widowControl w:val="0"/>
              <w:jc w:val="both"/>
            </w:pPr>
          </w:p>
        </w:tc>
      </w:tr>
    </w:tbl>
    <w:p w14:paraId="2E5053F3" w14:textId="5C9703C2" w:rsidR="00367C75" w:rsidRPr="00335FC4" w:rsidRDefault="00367C75" w:rsidP="00692B0B">
      <w:pPr>
        <w:jc w:val="center"/>
        <w:rPr>
          <w:sz w:val="28"/>
          <w:szCs w:val="20"/>
          <w:lang w:val="vi-VN"/>
        </w:rPr>
      </w:pPr>
    </w:p>
    <w:sectPr w:rsidR="00367C75" w:rsidRPr="00335FC4" w:rsidSect="00300CD2">
      <w:headerReference w:type="default" r:id="rId8"/>
      <w:footerReference w:type="default" r:id="rId9"/>
      <w:pgSz w:w="16838" w:h="11906" w:orient="landscape" w:code="9"/>
      <w:pgMar w:top="1134" w:right="1134" w:bottom="851"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E483" w14:textId="77777777" w:rsidR="00802D96" w:rsidRDefault="00802D96" w:rsidP="00D254B0">
      <w:r>
        <w:separator/>
      </w:r>
    </w:p>
  </w:endnote>
  <w:endnote w:type="continuationSeparator" w:id="0">
    <w:p w14:paraId="015D38AD" w14:textId="77777777" w:rsidR="00802D96" w:rsidRDefault="00802D96" w:rsidP="00D2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F680" w14:textId="77777777" w:rsidR="00D254B0" w:rsidRDefault="00D254B0" w:rsidP="005138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0B5D" w14:textId="77777777" w:rsidR="00802D96" w:rsidRDefault="00802D96" w:rsidP="00D254B0">
      <w:r>
        <w:separator/>
      </w:r>
    </w:p>
  </w:footnote>
  <w:footnote w:type="continuationSeparator" w:id="0">
    <w:p w14:paraId="03D01659" w14:textId="77777777" w:rsidR="00802D96" w:rsidRDefault="00802D96" w:rsidP="00D2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471783"/>
      <w:docPartObj>
        <w:docPartGallery w:val="Page Numbers (Top of Page)"/>
        <w:docPartUnique/>
      </w:docPartObj>
    </w:sdtPr>
    <w:sdtEndPr>
      <w:rPr>
        <w:noProof/>
      </w:rPr>
    </w:sdtEndPr>
    <w:sdtContent>
      <w:p w14:paraId="08D38418" w14:textId="77777777" w:rsidR="00B31F79" w:rsidRDefault="00B31F79">
        <w:pPr>
          <w:pStyle w:val="Header"/>
          <w:jc w:val="center"/>
        </w:pPr>
        <w:r>
          <w:fldChar w:fldCharType="begin"/>
        </w:r>
        <w:r>
          <w:instrText xml:space="preserve"> PAGE   \* MERGEFORMAT </w:instrText>
        </w:r>
        <w:r>
          <w:fldChar w:fldCharType="separate"/>
        </w:r>
        <w:r w:rsidR="00017080">
          <w:rPr>
            <w:noProof/>
          </w:rPr>
          <w:t>2</w:t>
        </w:r>
        <w:r>
          <w:rPr>
            <w:noProof/>
          </w:rPr>
          <w:fldChar w:fldCharType="end"/>
        </w:r>
      </w:p>
    </w:sdtContent>
  </w:sdt>
  <w:p w14:paraId="357F5480" w14:textId="77777777" w:rsidR="00B31F79" w:rsidRDefault="00B31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13E"/>
    <w:multiLevelType w:val="hybridMultilevel"/>
    <w:tmpl w:val="90B27E64"/>
    <w:lvl w:ilvl="0" w:tplc="EBE68B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CD55EB"/>
    <w:multiLevelType w:val="hybridMultilevel"/>
    <w:tmpl w:val="0DB0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00A9B"/>
    <w:multiLevelType w:val="hybridMultilevel"/>
    <w:tmpl w:val="6584F254"/>
    <w:lvl w:ilvl="0" w:tplc="AF2E29F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D0B5711"/>
    <w:multiLevelType w:val="hybridMultilevel"/>
    <w:tmpl w:val="DA7208A0"/>
    <w:lvl w:ilvl="0" w:tplc="B5143274">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16cid:durableId="844705824">
    <w:abstractNumId w:val="3"/>
  </w:num>
  <w:num w:numId="2" w16cid:durableId="612787092">
    <w:abstractNumId w:val="0"/>
  </w:num>
  <w:num w:numId="3" w16cid:durableId="350764869">
    <w:abstractNumId w:val="2"/>
  </w:num>
  <w:num w:numId="4" w16cid:durableId="116643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738"/>
    <w:rsid w:val="0000443A"/>
    <w:rsid w:val="00007206"/>
    <w:rsid w:val="0001026E"/>
    <w:rsid w:val="000141ED"/>
    <w:rsid w:val="000167CB"/>
    <w:rsid w:val="00017080"/>
    <w:rsid w:val="0002757E"/>
    <w:rsid w:val="0002758B"/>
    <w:rsid w:val="000459E1"/>
    <w:rsid w:val="00051262"/>
    <w:rsid w:val="000706A1"/>
    <w:rsid w:val="00070FBE"/>
    <w:rsid w:val="000738C7"/>
    <w:rsid w:val="000826BA"/>
    <w:rsid w:val="000902E4"/>
    <w:rsid w:val="000A0EC8"/>
    <w:rsid w:val="000A5151"/>
    <w:rsid w:val="000B6A58"/>
    <w:rsid w:val="000C137C"/>
    <w:rsid w:val="000C2B74"/>
    <w:rsid w:val="000C3108"/>
    <w:rsid w:val="000D0CB9"/>
    <w:rsid w:val="000D3756"/>
    <w:rsid w:val="000E2390"/>
    <w:rsid w:val="000F41EF"/>
    <w:rsid w:val="000F4CE2"/>
    <w:rsid w:val="0010591A"/>
    <w:rsid w:val="001132D7"/>
    <w:rsid w:val="0012559F"/>
    <w:rsid w:val="0014175D"/>
    <w:rsid w:val="00144D79"/>
    <w:rsid w:val="001470BB"/>
    <w:rsid w:val="00156F19"/>
    <w:rsid w:val="001612B0"/>
    <w:rsid w:val="001617EA"/>
    <w:rsid w:val="00163E67"/>
    <w:rsid w:val="001734BC"/>
    <w:rsid w:val="00180E34"/>
    <w:rsid w:val="00182768"/>
    <w:rsid w:val="001856E2"/>
    <w:rsid w:val="00190121"/>
    <w:rsid w:val="001957C1"/>
    <w:rsid w:val="001A7938"/>
    <w:rsid w:val="001B2A98"/>
    <w:rsid w:val="001B5ABE"/>
    <w:rsid w:val="001C01D5"/>
    <w:rsid w:val="001C3F19"/>
    <w:rsid w:val="001C427E"/>
    <w:rsid w:val="001C65A3"/>
    <w:rsid w:val="001C6A76"/>
    <w:rsid w:val="001D2568"/>
    <w:rsid w:val="001D2609"/>
    <w:rsid w:val="001D7740"/>
    <w:rsid w:val="001D7DFE"/>
    <w:rsid w:val="001F30CB"/>
    <w:rsid w:val="001F34D9"/>
    <w:rsid w:val="001F5608"/>
    <w:rsid w:val="00206D46"/>
    <w:rsid w:val="00207425"/>
    <w:rsid w:val="00216484"/>
    <w:rsid w:val="0022171A"/>
    <w:rsid w:val="00222DF1"/>
    <w:rsid w:val="00230C04"/>
    <w:rsid w:val="00236B7F"/>
    <w:rsid w:val="0023757D"/>
    <w:rsid w:val="0024259A"/>
    <w:rsid w:val="002434A6"/>
    <w:rsid w:val="00243DB3"/>
    <w:rsid w:val="00250599"/>
    <w:rsid w:val="002574BA"/>
    <w:rsid w:val="00261F68"/>
    <w:rsid w:val="0027154C"/>
    <w:rsid w:val="00280FE0"/>
    <w:rsid w:val="00282233"/>
    <w:rsid w:val="002840E8"/>
    <w:rsid w:val="00295BF8"/>
    <w:rsid w:val="002962B5"/>
    <w:rsid w:val="002A1817"/>
    <w:rsid w:val="002A224A"/>
    <w:rsid w:val="002B4D27"/>
    <w:rsid w:val="002B714D"/>
    <w:rsid w:val="002C17B0"/>
    <w:rsid w:val="002D34F1"/>
    <w:rsid w:val="002E0D15"/>
    <w:rsid w:val="002E4E60"/>
    <w:rsid w:val="002F273D"/>
    <w:rsid w:val="002F5E6F"/>
    <w:rsid w:val="00300CD2"/>
    <w:rsid w:val="00304C16"/>
    <w:rsid w:val="0031058C"/>
    <w:rsid w:val="00312C12"/>
    <w:rsid w:val="003141EF"/>
    <w:rsid w:val="00315A39"/>
    <w:rsid w:val="00320A3E"/>
    <w:rsid w:val="00330397"/>
    <w:rsid w:val="00335FC4"/>
    <w:rsid w:val="00336F32"/>
    <w:rsid w:val="00357A01"/>
    <w:rsid w:val="00360C69"/>
    <w:rsid w:val="003635C7"/>
    <w:rsid w:val="00367C75"/>
    <w:rsid w:val="0037082C"/>
    <w:rsid w:val="003772FD"/>
    <w:rsid w:val="00381358"/>
    <w:rsid w:val="00381ED6"/>
    <w:rsid w:val="003824A2"/>
    <w:rsid w:val="0039602B"/>
    <w:rsid w:val="003A19EE"/>
    <w:rsid w:val="003A4A64"/>
    <w:rsid w:val="003A578A"/>
    <w:rsid w:val="003B7930"/>
    <w:rsid w:val="003C331C"/>
    <w:rsid w:val="003C4D6C"/>
    <w:rsid w:val="003D1033"/>
    <w:rsid w:val="003D39B7"/>
    <w:rsid w:val="003E50A8"/>
    <w:rsid w:val="003F0418"/>
    <w:rsid w:val="003F1A7C"/>
    <w:rsid w:val="003F34A4"/>
    <w:rsid w:val="003F5677"/>
    <w:rsid w:val="00405D16"/>
    <w:rsid w:val="0040743A"/>
    <w:rsid w:val="0041527E"/>
    <w:rsid w:val="004201DD"/>
    <w:rsid w:val="00427BE8"/>
    <w:rsid w:val="004318AE"/>
    <w:rsid w:val="00433B96"/>
    <w:rsid w:val="004436FC"/>
    <w:rsid w:val="00444D0D"/>
    <w:rsid w:val="00445E08"/>
    <w:rsid w:val="00462132"/>
    <w:rsid w:val="0046787C"/>
    <w:rsid w:val="00472FFA"/>
    <w:rsid w:val="00477F62"/>
    <w:rsid w:val="00481F28"/>
    <w:rsid w:val="0048218E"/>
    <w:rsid w:val="00483FA6"/>
    <w:rsid w:val="00484C0A"/>
    <w:rsid w:val="00486930"/>
    <w:rsid w:val="004A3AE0"/>
    <w:rsid w:val="004A7B08"/>
    <w:rsid w:val="004B0077"/>
    <w:rsid w:val="004B5525"/>
    <w:rsid w:val="004C0B44"/>
    <w:rsid w:val="004C2020"/>
    <w:rsid w:val="004C41EC"/>
    <w:rsid w:val="004C4865"/>
    <w:rsid w:val="004D19F6"/>
    <w:rsid w:val="004E300B"/>
    <w:rsid w:val="004E7A34"/>
    <w:rsid w:val="0050183F"/>
    <w:rsid w:val="0050418A"/>
    <w:rsid w:val="00505C20"/>
    <w:rsid w:val="00505CE6"/>
    <w:rsid w:val="0051193D"/>
    <w:rsid w:val="00512DBD"/>
    <w:rsid w:val="00513857"/>
    <w:rsid w:val="00516CD8"/>
    <w:rsid w:val="0052065A"/>
    <w:rsid w:val="00522DC5"/>
    <w:rsid w:val="00527D54"/>
    <w:rsid w:val="00527E62"/>
    <w:rsid w:val="005440A9"/>
    <w:rsid w:val="005470A6"/>
    <w:rsid w:val="0057329A"/>
    <w:rsid w:val="00574511"/>
    <w:rsid w:val="005758FB"/>
    <w:rsid w:val="00575A32"/>
    <w:rsid w:val="00580BDF"/>
    <w:rsid w:val="005904B0"/>
    <w:rsid w:val="0059303A"/>
    <w:rsid w:val="005A508D"/>
    <w:rsid w:val="005A71D5"/>
    <w:rsid w:val="005C4EBC"/>
    <w:rsid w:val="005D00C3"/>
    <w:rsid w:val="005D10FE"/>
    <w:rsid w:val="005D20BE"/>
    <w:rsid w:val="005E0224"/>
    <w:rsid w:val="005E5B67"/>
    <w:rsid w:val="005E72B3"/>
    <w:rsid w:val="005F1B69"/>
    <w:rsid w:val="005F32A5"/>
    <w:rsid w:val="005F334A"/>
    <w:rsid w:val="006001F4"/>
    <w:rsid w:val="006002D8"/>
    <w:rsid w:val="00601C06"/>
    <w:rsid w:val="006053F3"/>
    <w:rsid w:val="006123EA"/>
    <w:rsid w:val="006129DB"/>
    <w:rsid w:val="00616A40"/>
    <w:rsid w:val="006206E9"/>
    <w:rsid w:val="006224EA"/>
    <w:rsid w:val="00631B13"/>
    <w:rsid w:val="00634602"/>
    <w:rsid w:val="00640CD4"/>
    <w:rsid w:val="00643133"/>
    <w:rsid w:val="006479B5"/>
    <w:rsid w:val="00656F87"/>
    <w:rsid w:val="00663392"/>
    <w:rsid w:val="00664EB9"/>
    <w:rsid w:val="00665532"/>
    <w:rsid w:val="00666B38"/>
    <w:rsid w:val="00671845"/>
    <w:rsid w:val="0067414A"/>
    <w:rsid w:val="00692B0B"/>
    <w:rsid w:val="00696D36"/>
    <w:rsid w:val="006A656C"/>
    <w:rsid w:val="006B1D72"/>
    <w:rsid w:val="006B79D2"/>
    <w:rsid w:val="006D1E7E"/>
    <w:rsid w:val="006D25E3"/>
    <w:rsid w:val="006E7012"/>
    <w:rsid w:val="006F3441"/>
    <w:rsid w:val="006F5865"/>
    <w:rsid w:val="007023C9"/>
    <w:rsid w:val="00704D40"/>
    <w:rsid w:val="007103E4"/>
    <w:rsid w:val="007110CC"/>
    <w:rsid w:val="007152CD"/>
    <w:rsid w:val="0072109B"/>
    <w:rsid w:val="00723B24"/>
    <w:rsid w:val="00731105"/>
    <w:rsid w:val="007324D6"/>
    <w:rsid w:val="00735631"/>
    <w:rsid w:val="0074004A"/>
    <w:rsid w:val="00746D5C"/>
    <w:rsid w:val="00751C04"/>
    <w:rsid w:val="007636ED"/>
    <w:rsid w:val="00766B95"/>
    <w:rsid w:val="0078263E"/>
    <w:rsid w:val="007855DB"/>
    <w:rsid w:val="00792748"/>
    <w:rsid w:val="00796EB4"/>
    <w:rsid w:val="007A0092"/>
    <w:rsid w:val="007B3754"/>
    <w:rsid w:val="007C2E29"/>
    <w:rsid w:val="007C54C9"/>
    <w:rsid w:val="007C6451"/>
    <w:rsid w:val="007C73D9"/>
    <w:rsid w:val="007D2948"/>
    <w:rsid w:val="007E5F4B"/>
    <w:rsid w:val="007E6848"/>
    <w:rsid w:val="007F38DB"/>
    <w:rsid w:val="00802D96"/>
    <w:rsid w:val="008058B6"/>
    <w:rsid w:val="0080663A"/>
    <w:rsid w:val="008069DF"/>
    <w:rsid w:val="008125B4"/>
    <w:rsid w:val="008137CF"/>
    <w:rsid w:val="0081531D"/>
    <w:rsid w:val="0083002C"/>
    <w:rsid w:val="008306ED"/>
    <w:rsid w:val="00834385"/>
    <w:rsid w:val="00834E1E"/>
    <w:rsid w:val="00836770"/>
    <w:rsid w:val="00842A2F"/>
    <w:rsid w:val="0084657F"/>
    <w:rsid w:val="00853660"/>
    <w:rsid w:val="008646E2"/>
    <w:rsid w:val="008648EC"/>
    <w:rsid w:val="008700E0"/>
    <w:rsid w:val="00871922"/>
    <w:rsid w:val="00871F56"/>
    <w:rsid w:val="0088402C"/>
    <w:rsid w:val="00887C14"/>
    <w:rsid w:val="008A0409"/>
    <w:rsid w:val="008B0F2B"/>
    <w:rsid w:val="008B15F2"/>
    <w:rsid w:val="008B209D"/>
    <w:rsid w:val="008B2744"/>
    <w:rsid w:val="008B61CF"/>
    <w:rsid w:val="008B656A"/>
    <w:rsid w:val="008B69AA"/>
    <w:rsid w:val="008B6A59"/>
    <w:rsid w:val="008C5E2B"/>
    <w:rsid w:val="008D0FE5"/>
    <w:rsid w:val="008D5BE8"/>
    <w:rsid w:val="008E291F"/>
    <w:rsid w:val="008F3EA1"/>
    <w:rsid w:val="008F5F83"/>
    <w:rsid w:val="00900D45"/>
    <w:rsid w:val="009025A1"/>
    <w:rsid w:val="009026BB"/>
    <w:rsid w:val="00907ABD"/>
    <w:rsid w:val="009120ED"/>
    <w:rsid w:val="009122B4"/>
    <w:rsid w:val="00917CFD"/>
    <w:rsid w:val="009318DC"/>
    <w:rsid w:val="00940FDE"/>
    <w:rsid w:val="009453B6"/>
    <w:rsid w:val="009563BF"/>
    <w:rsid w:val="00970148"/>
    <w:rsid w:val="00980259"/>
    <w:rsid w:val="00991B7C"/>
    <w:rsid w:val="00995F41"/>
    <w:rsid w:val="009C13F7"/>
    <w:rsid w:val="009C7921"/>
    <w:rsid w:val="009D4107"/>
    <w:rsid w:val="009E141F"/>
    <w:rsid w:val="00A01D3F"/>
    <w:rsid w:val="00A062F9"/>
    <w:rsid w:val="00A11A7D"/>
    <w:rsid w:val="00A31218"/>
    <w:rsid w:val="00A32AA9"/>
    <w:rsid w:val="00A34131"/>
    <w:rsid w:val="00A40F40"/>
    <w:rsid w:val="00A43A8F"/>
    <w:rsid w:val="00A45AD3"/>
    <w:rsid w:val="00A46D56"/>
    <w:rsid w:val="00A510E9"/>
    <w:rsid w:val="00A51FD1"/>
    <w:rsid w:val="00A6055D"/>
    <w:rsid w:val="00A64C61"/>
    <w:rsid w:val="00A64D88"/>
    <w:rsid w:val="00A659B5"/>
    <w:rsid w:val="00A668C2"/>
    <w:rsid w:val="00A74ABA"/>
    <w:rsid w:val="00A755F9"/>
    <w:rsid w:val="00A7581D"/>
    <w:rsid w:val="00A762CB"/>
    <w:rsid w:val="00A86D8E"/>
    <w:rsid w:val="00A92600"/>
    <w:rsid w:val="00A93D89"/>
    <w:rsid w:val="00A966EB"/>
    <w:rsid w:val="00AA38F8"/>
    <w:rsid w:val="00AC0125"/>
    <w:rsid w:val="00AC0490"/>
    <w:rsid w:val="00AC1D3C"/>
    <w:rsid w:val="00AC3228"/>
    <w:rsid w:val="00AC570D"/>
    <w:rsid w:val="00AC5A6B"/>
    <w:rsid w:val="00AC5A94"/>
    <w:rsid w:val="00AD1B7F"/>
    <w:rsid w:val="00AE24B2"/>
    <w:rsid w:val="00AE291B"/>
    <w:rsid w:val="00AE4394"/>
    <w:rsid w:val="00AE732C"/>
    <w:rsid w:val="00AF5B82"/>
    <w:rsid w:val="00AF6A25"/>
    <w:rsid w:val="00B005EE"/>
    <w:rsid w:val="00B07A7F"/>
    <w:rsid w:val="00B10487"/>
    <w:rsid w:val="00B1106A"/>
    <w:rsid w:val="00B12A19"/>
    <w:rsid w:val="00B15890"/>
    <w:rsid w:val="00B20553"/>
    <w:rsid w:val="00B238F9"/>
    <w:rsid w:val="00B31F79"/>
    <w:rsid w:val="00B34A26"/>
    <w:rsid w:val="00B44A98"/>
    <w:rsid w:val="00B555DF"/>
    <w:rsid w:val="00B57035"/>
    <w:rsid w:val="00B57C5E"/>
    <w:rsid w:val="00B63D56"/>
    <w:rsid w:val="00B677EB"/>
    <w:rsid w:val="00B758CC"/>
    <w:rsid w:val="00B7629A"/>
    <w:rsid w:val="00B83D5B"/>
    <w:rsid w:val="00B930D7"/>
    <w:rsid w:val="00B95564"/>
    <w:rsid w:val="00B955BE"/>
    <w:rsid w:val="00BA176D"/>
    <w:rsid w:val="00BA6FE4"/>
    <w:rsid w:val="00BB2076"/>
    <w:rsid w:val="00BB4A9D"/>
    <w:rsid w:val="00BB59B2"/>
    <w:rsid w:val="00BC14E7"/>
    <w:rsid w:val="00BC48DE"/>
    <w:rsid w:val="00BC62FF"/>
    <w:rsid w:val="00BD0A39"/>
    <w:rsid w:val="00BD0EF6"/>
    <w:rsid w:val="00BD1080"/>
    <w:rsid w:val="00BD3248"/>
    <w:rsid w:val="00BD41D1"/>
    <w:rsid w:val="00BD599C"/>
    <w:rsid w:val="00BE3C16"/>
    <w:rsid w:val="00BF1CCB"/>
    <w:rsid w:val="00BF5032"/>
    <w:rsid w:val="00BF6262"/>
    <w:rsid w:val="00C033EB"/>
    <w:rsid w:val="00C040F5"/>
    <w:rsid w:val="00C06020"/>
    <w:rsid w:val="00C07C5B"/>
    <w:rsid w:val="00C102B0"/>
    <w:rsid w:val="00C16FFC"/>
    <w:rsid w:val="00C20AA2"/>
    <w:rsid w:val="00C32400"/>
    <w:rsid w:val="00C409A5"/>
    <w:rsid w:val="00C4611A"/>
    <w:rsid w:val="00C52860"/>
    <w:rsid w:val="00C54738"/>
    <w:rsid w:val="00C575AA"/>
    <w:rsid w:val="00C61146"/>
    <w:rsid w:val="00C71BB9"/>
    <w:rsid w:val="00C72B19"/>
    <w:rsid w:val="00C731D4"/>
    <w:rsid w:val="00C740EF"/>
    <w:rsid w:val="00C7564E"/>
    <w:rsid w:val="00C77429"/>
    <w:rsid w:val="00C806FC"/>
    <w:rsid w:val="00C840F9"/>
    <w:rsid w:val="00C90CCB"/>
    <w:rsid w:val="00C936E4"/>
    <w:rsid w:val="00CA28E0"/>
    <w:rsid w:val="00CA7EFF"/>
    <w:rsid w:val="00CB43DB"/>
    <w:rsid w:val="00CC2272"/>
    <w:rsid w:val="00CD3473"/>
    <w:rsid w:val="00CD7A49"/>
    <w:rsid w:val="00CE23D2"/>
    <w:rsid w:val="00CE52FD"/>
    <w:rsid w:val="00CE6405"/>
    <w:rsid w:val="00CE6768"/>
    <w:rsid w:val="00CF6C23"/>
    <w:rsid w:val="00D01DDF"/>
    <w:rsid w:val="00D027C1"/>
    <w:rsid w:val="00D0630F"/>
    <w:rsid w:val="00D10283"/>
    <w:rsid w:val="00D13EB0"/>
    <w:rsid w:val="00D15897"/>
    <w:rsid w:val="00D16BAE"/>
    <w:rsid w:val="00D20985"/>
    <w:rsid w:val="00D254B0"/>
    <w:rsid w:val="00D3277B"/>
    <w:rsid w:val="00D37522"/>
    <w:rsid w:val="00D375D9"/>
    <w:rsid w:val="00D4717C"/>
    <w:rsid w:val="00D50BE2"/>
    <w:rsid w:val="00D566DD"/>
    <w:rsid w:val="00D60277"/>
    <w:rsid w:val="00D63A1C"/>
    <w:rsid w:val="00D65A0C"/>
    <w:rsid w:val="00D7420C"/>
    <w:rsid w:val="00D7770A"/>
    <w:rsid w:val="00D80FF0"/>
    <w:rsid w:val="00D817CD"/>
    <w:rsid w:val="00D82991"/>
    <w:rsid w:val="00D844D1"/>
    <w:rsid w:val="00D90B51"/>
    <w:rsid w:val="00D940BC"/>
    <w:rsid w:val="00D945B5"/>
    <w:rsid w:val="00DB19A7"/>
    <w:rsid w:val="00DB6398"/>
    <w:rsid w:val="00DC5812"/>
    <w:rsid w:val="00DC79AF"/>
    <w:rsid w:val="00DD62AE"/>
    <w:rsid w:val="00DD6C8B"/>
    <w:rsid w:val="00DF6C86"/>
    <w:rsid w:val="00E10BDB"/>
    <w:rsid w:val="00E131A8"/>
    <w:rsid w:val="00E131F1"/>
    <w:rsid w:val="00E21DAE"/>
    <w:rsid w:val="00E22514"/>
    <w:rsid w:val="00E27B4C"/>
    <w:rsid w:val="00E37FC7"/>
    <w:rsid w:val="00E50E10"/>
    <w:rsid w:val="00E61A4C"/>
    <w:rsid w:val="00E62ABB"/>
    <w:rsid w:val="00E65C4E"/>
    <w:rsid w:val="00E75BFA"/>
    <w:rsid w:val="00E75F48"/>
    <w:rsid w:val="00E859A6"/>
    <w:rsid w:val="00E95CDC"/>
    <w:rsid w:val="00EA2218"/>
    <w:rsid w:val="00EA6339"/>
    <w:rsid w:val="00EB0492"/>
    <w:rsid w:val="00EB2CDF"/>
    <w:rsid w:val="00EC4B1A"/>
    <w:rsid w:val="00ED0369"/>
    <w:rsid w:val="00ED2078"/>
    <w:rsid w:val="00ED3824"/>
    <w:rsid w:val="00F07A3C"/>
    <w:rsid w:val="00F21834"/>
    <w:rsid w:val="00F2247E"/>
    <w:rsid w:val="00F264A3"/>
    <w:rsid w:val="00F31171"/>
    <w:rsid w:val="00F31AD3"/>
    <w:rsid w:val="00F33A6D"/>
    <w:rsid w:val="00F352CF"/>
    <w:rsid w:val="00F358A7"/>
    <w:rsid w:val="00F40FC8"/>
    <w:rsid w:val="00F5043C"/>
    <w:rsid w:val="00F5128F"/>
    <w:rsid w:val="00F55F33"/>
    <w:rsid w:val="00F55F70"/>
    <w:rsid w:val="00F71A70"/>
    <w:rsid w:val="00F77293"/>
    <w:rsid w:val="00F8006A"/>
    <w:rsid w:val="00F80B87"/>
    <w:rsid w:val="00F826C4"/>
    <w:rsid w:val="00F85BC7"/>
    <w:rsid w:val="00F91FB6"/>
    <w:rsid w:val="00F95057"/>
    <w:rsid w:val="00F975BC"/>
    <w:rsid w:val="00FB199D"/>
    <w:rsid w:val="00FB1B0F"/>
    <w:rsid w:val="00FB65AD"/>
    <w:rsid w:val="00FB69EF"/>
    <w:rsid w:val="00FB7103"/>
    <w:rsid w:val="00FC4E85"/>
    <w:rsid w:val="00FD070E"/>
    <w:rsid w:val="00FD2A47"/>
    <w:rsid w:val="00FE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65A56FC"/>
  <w15:docId w15:val="{06384E33-8C7A-481A-B345-CFE19E5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 w:val="28"/>
      <w:szCs w:val="22"/>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Char,Char Char Char,Char Char,Body Text1"/>
    <w:basedOn w:val="Normal"/>
    <w:link w:val="BodyTextChar"/>
    <w:pPr>
      <w:jc w:val="both"/>
    </w:pPr>
    <w:rPr>
      <w:sz w:val="28"/>
      <w:szCs w:val="20"/>
      <w:lang w:val="en-US" w:eastAsia="en-US"/>
    </w:rPr>
  </w:style>
  <w:style w:type="character" w:customStyle="1" w:styleId="BodyTextChar">
    <w:name w:val="Body Text Char"/>
    <w:aliases w:val=" Char Char,Char Char1,Char Char Char Char,Char Char Char1,Body Text1 Char"/>
    <w:link w:val="BodyText"/>
    <w:rPr>
      <w:sz w:val="28"/>
      <w:lang w:val="en-US" w:eastAsia="en-US" w:bidi="ar-SA"/>
    </w:rPr>
  </w:style>
  <w:style w:type="paragraph" w:customStyle="1" w:styleId="CharCharCharCharCharCharCharCharChar1Char0">
    <w:name w:val="Char Char Char Char Char Char Char Char Char1 Char"/>
    <w:basedOn w:val="Normal"/>
    <w:next w:val="Normal"/>
    <w:autoRedefine/>
    <w:semiHidden/>
    <w:pPr>
      <w:spacing w:before="120" w:after="120" w:line="312" w:lineRule="auto"/>
    </w:pPr>
    <w:rPr>
      <w:sz w:val="28"/>
      <w:szCs w:val="22"/>
      <w:lang w:val="en-US" w:eastAsia="en-US"/>
    </w:rPr>
  </w:style>
  <w:style w:type="paragraph" w:styleId="Header">
    <w:name w:val="header"/>
    <w:basedOn w:val="Normal"/>
    <w:link w:val="HeaderChar"/>
    <w:uiPriority w:val="99"/>
    <w:rsid w:val="00D254B0"/>
    <w:pPr>
      <w:tabs>
        <w:tab w:val="center" w:pos="4680"/>
        <w:tab w:val="right" w:pos="9360"/>
      </w:tabs>
    </w:pPr>
  </w:style>
  <w:style w:type="character" w:customStyle="1" w:styleId="HeaderChar">
    <w:name w:val="Header Char"/>
    <w:link w:val="Header"/>
    <w:uiPriority w:val="99"/>
    <w:rsid w:val="00D254B0"/>
    <w:rPr>
      <w:sz w:val="24"/>
      <w:szCs w:val="24"/>
      <w:lang w:val="en-GB" w:eastAsia="en-GB"/>
    </w:rPr>
  </w:style>
  <w:style w:type="paragraph" w:styleId="Footer">
    <w:name w:val="footer"/>
    <w:basedOn w:val="Normal"/>
    <w:link w:val="FooterChar"/>
    <w:uiPriority w:val="99"/>
    <w:rsid w:val="00D254B0"/>
    <w:pPr>
      <w:tabs>
        <w:tab w:val="center" w:pos="4680"/>
        <w:tab w:val="right" w:pos="9360"/>
      </w:tabs>
    </w:pPr>
  </w:style>
  <w:style w:type="character" w:customStyle="1" w:styleId="FooterChar">
    <w:name w:val="Footer Char"/>
    <w:link w:val="Footer"/>
    <w:uiPriority w:val="99"/>
    <w:rsid w:val="00D254B0"/>
    <w:rPr>
      <w:sz w:val="24"/>
      <w:szCs w:val="24"/>
      <w:lang w:val="en-GB" w:eastAsia="en-GB"/>
    </w:rPr>
  </w:style>
  <w:style w:type="paragraph" w:styleId="BodyTextIndent">
    <w:name w:val="Body Text Indent"/>
    <w:basedOn w:val="Normal"/>
    <w:link w:val="BodyTextIndentChar"/>
    <w:rsid w:val="00E22514"/>
    <w:pPr>
      <w:spacing w:after="120"/>
      <w:ind w:left="283"/>
    </w:pPr>
  </w:style>
  <w:style w:type="character" w:customStyle="1" w:styleId="BodyTextIndentChar">
    <w:name w:val="Body Text Indent Char"/>
    <w:link w:val="BodyTextIndent"/>
    <w:rsid w:val="00E22514"/>
    <w:rPr>
      <w:sz w:val="24"/>
      <w:szCs w:val="24"/>
      <w:lang w:val="en-GB" w:eastAsia="en-GB"/>
    </w:rPr>
  </w:style>
  <w:style w:type="paragraph" w:styleId="ListParagraph">
    <w:name w:val="List Paragraph"/>
    <w:basedOn w:val="Normal"/>
    <w:uiPriority w:val="34"/>
    <w:qFormat/>
    <w:rsid w:val="00B930D7"/>
    <w:pPr>
      <w:ind w:left="720"/>
      <w:contextualSpacing/>
    </w:pPr>
  </w:style>
  <w:style w:type="paragraph" w:styleId="FootnoteText">
    <w:name w:val="footnote text"/>
    <w:basedOn w:val="Normal"/>
    <w:link w:val="FootnoteTextChar"/>
    <w:rsid w:val="00CF6C23"/>
    <w:rPr>
      <w:sz w:val="20"/>
      <w:szCs w:val="20"/>
    </w:rPr>
  </w:style>
  <w:style w:type="character" w:customStyle="1" w:styleId="FootnoteTextChar">
    <w:name w:val="Footnote Text Char"/>
    <w:basedOn w:val="DefaultParagraphFont"/>
    <w:link w:val="FootnoteText"/>
    <w:rsid w:val="00CF6C23"/>
    <w:rPr>
      <w:lang w:val="en-GB" w:eastAsia="en-GB"/>
    </w:rPr>
  </w:style>
  <w:style w:type="character" w:styleId="FootnoteReference">
    <w:name w:val="footnote reference"/>
    <w:basedOn w:val="DefaultParagraphFont"/>
    <w:rsid w:val="00CF6C23"/>
    <w:rPr>
      <w:vertAlign w:val="superscript"/>
    </w:rPr>
  </w:style>
  <w:style w:type="character" w:styleId="Emphasis">
    <w:name w:val="Emphasis"/>
    <w:uiPriority w:val="20"/>
    <w:qFormat/>
    <w:rsid w:val="00A7581D"/>
    <w:rPr>
      <w:i/>
      <w:iCs/>
    </w:rPr>
  </w:style>
  <w:style w:type="paragraph" w:styleId="NormalWeb">
    <w:name w:val="Normal (Web)"/>
    <w:basedOn w:val="Normal"/>
    <w:link w:val="NormalWebChar"/>
    <w:uiPriority w:val="99"/>
    <w:unhideWhenUsed/>
    <w:rsid w:val="00A7581D"/>
    <w:pPr>
      <w:spacing w:before="100" w:beforeAutospacing="1" w:after="100" w:afterAutospacing="1"/>
    </w:pPr>
    <w:rPr>
      <w:lang w:val="en-US" w:eastAsia="en-US"/>
    </w:rPr>
  </w:style>
  <w:style w:type="character" w:customStyle="1" w:styleId="NormalWebChar">
    <w:name w:val="Normal (Web) Char"/>
    <w:link w:val="NormalWeb"/>
    <w:uiPriority w:val="99"/>
    <w:locked/>
    <w:rsid w:val="00A7581D"/>
    <w:rPr>
      <w:sz w:val="24"/>
      <w:szCs w:val="24"/>
    </w:rPr>
  </w:style>
  <w:style w:type="character" w:styleId="Hyperlink">
    <w:name w:val="Hyperlink"/>
    <w:basedOn w:val="DefaultParagraphFont"/>
    <w:uiPriority w:val="99"/>
    <w:rsid w:val="00484C0A"/>
    <w:rPr>
      <w:color w:val="0000FF" w:themeColor="hyperlink"/>
      <w:u w:val="single"/>
    </w:rPr>
  </w:style>
  <w:style w:type="character" w:customStyle="1" w:styleId="UnresolvedMention1">
    <w:name w:val="Unresolved Mention1"/>
    <w:basedOn w:val="DefaultParagraphFont"/>
    <w:uiPriority w:val="99"/>
    <w:semiHidden/>
    <w:unhideWhenUsed/>
    <w:rsid w:val="00484C0A"/>
    <w:rPr>
      <w:color w:val="605E5C"/>
      <w:shd w:val="clear" w:color="auto" w:fill="E1DFDD"/>
    </w:rPr>
  </w:style>
  <w:style w:type="character" w:customStyle="1" w:styleId="UnresolvedMention2">
    <w:name w:val="Unresolved Mention2"/>
    <w:basedOn w:val="DefaultParagraphFont"/>
    <w:uiPriority w:val="99"/>
    <w:semiHidden/>
    <w:unhideWhenUsed/>
    <w:rsid w:val="003A19EE"/>
    <w:rPr>
      <w:color w:val="605E5C"/>
      <w:shd w:val="clear" w:color="auto" w:fill="E1DFDD"/>
    </w:rPr>
  </w:style>
  <w:style w:type="character" w:styleId="UnresolvedMention">
    <w:name w:val="Unresolved Mention"/>
    <w:basedOn w:val="DefaultParagraphFont"/>
    <w:uiPriority w:val="99"/>
    <w:semiHidden/>
    <w:unhideWhenUsed/>
    <w:rsid w:val="00300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5750">
      <w:bodyDiv w:val="1"/>
      <w:marLeft w:val="0"/>
      <w:marRight w:val="0"/>
      <w:marTop w:val="0"/>
      <w:marBottom w:val="0"/>
      <w:divBdr>
        <w:top w:val="none" w:sz="0" w:space="0" w:color="auto"/>
        <w:left w:val="none" w:sz="0" w:space="0" w:color="auto"/>
        <w:bottom w:val="none" w:sz="0" w:space="0" w:color="auto"/>
        <w:right w:val="none" w:sz="0" w:space="0" w:color="auto"/>
      </w:divBdr>
    </w:div>
    <w:div w:id="9972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BC6B-FCDC-4386-8AE3-14E544AC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4231</Words>
  <Characters>24118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UBND TỈNH BÌNH ĐỊNH</vt:lpstr>
    </vt:vector>
  </TitlesOfParts>
  <Company>sowlov co. ltd.</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Gia Lai</dc:title>
  <dc:creator>Ánh Vân</dc:creator>
  <cp:lastModifiedBy>USERHP</cp:lastModifiedBy>
  <cp:revision>8</cp:revision>
  <cp:lastPrinted>2025-11-17T11:29:00Z</cp:lastPrinted>
  <dcterms:created xsi:type="dcterms:W3CDTF">2026-04-05T09:17:00Z</dcterms:created>
  <dcterms:modified xsi:type="dcterms:W3CDTF">2026-04-05T09:41:00Z</dcterms:modified>
</cp:coreProperties>
</file>