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067" w:type="dxa"/>
        <w:tblInd w:w="424" w:type="dxa"/>
        <w:tblLayout w:type="fixed"/>
        <w:tblCellMar>
          <w:left w:w="0" w:type="dxa"/>
          <w:right w:w="0" w:type="dxa"/>
        </w:tblCellMar>
        <w:tblLook w:val="04A0" w:firstRow="1" w:lastRow="0" w:firstColumn="1" w:lastColumn="0" w:noHBand="0" w:noVBand="1"/>
      </w:tblPr>
      <w:tblGrid>
        <w:gridCol w:w="3125"/>
        <w:gridCol w:w="5942"/>
      </w:tblGrid>
      <w:tr w:rsidR="00DA049D" w14:paraId="0B9F8236" w14:textId="77777777" w:rsidTr="00443C06">
        <w:trPr>
          <w:trHeight w:val="851"/>
        </w:trPr>
        <w:tc>
          <w:tcPr>
            <w:tcW w:w="3125" w:type="dxa"/>
          </w:tcPr>
          <w:p w14:paraId="6E03F544" w14:textId="035C2C8B" w:rsidR="00DA049D" w:rsidRDefault="007E2B1B" w:rsidP="00C71DF3">
            <w:pPr>
              <w:pStyle w:val="TableParagraph"/>
              <w:spacing w:after="0" w:line="240" w:lineRule="auto"/>
              <w:ind w:left="6"/>
              <w:jc w:val="center"/>
              <w:rPr>
                <w:b/>
                <w:sz w:val="26"/>
                <w:szCs w:val="26"/>
              </w:rPr>
            </w:pPr>
            <w:r>
              <w:rPr>
                <w:b/>
                <w:noProof/>
                <w:sz w:val="26"/>
                <w:szCs w:val="26"/>
              </w:rPr>
              <mc:AlternateContent>
                <mc:Choice Requires="wps">
                  <w:drawing>
                    <wp:anchor distT="0" distB="0" distL="114300" distR="114300" simplePos="0" relativeHeight="251652608" behindDoc="0" locked="0" layoutInCell="1" allowOverlap="1" wp14:anchorId="2CD92DB8" wp14:editId="22BBAB89">
                      <wp:simplePos x="0" y="0"/>
                      <wp:positionH relativeFrom="column">
                        <wp:posOffset>618490</wp:posOffset>
                      </wp:positionH>
                      <wp:positionV relativeFrom="paragraph">
                        <wp:posOffset>386080</wp:posOffset>
                      </wp:positionV>
                      <wp:extent cx="79502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79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DC63BD3" id="Straight Connector 15"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48.7pt,30.4pt" to="111.3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" strokecolor="black [3040]"/>
                  </w:pict>
                </mc:Fallback>
              </mc:AlternateContent>
            </w:r>
            <w:r w:rsidR="00A9711B">
              <w:rPr>
                <w:b/>
                <w:noProof/>
                <w:sz w:val="26"/>
                <w:szCs w:val="26"/>
              </w:rPr>
              <w:t>HỘI ĐỒNG</w:t>
            </w:r>
            <w:r>
              <w:rPr>
                <w:b/>
                <w:spacing w:val="-13"/>
                <w:sz w:val="26"/>
                <w:szCs w:val="26"/>
              </w:rPr>
              <w:t xml:space="preserve"> </w:t>
            </w:r>
            <w:r>
              <w:rPr>
                <w:b/>
                <w:sz w:val="26"/>
                <w:szCs w:val="26"/>
              </w:rPr>
              <w:t>NHÂN</w:t>
            </w:r>
            <w:r>
              <w:rPr>
                <w:b/>
                <w:spacing w:val="-13"/>
                <w:sz w:val="26"/>
                <w:szCs w:val="26"/>
              </w:rPr>
              <w:t xml:space="preserve"> </w:t>
            </w:r>
            <w:r>
              <w:rPr>
                <w:b/>
                <w:sz w:val="26"/>
                <w:szCs w:val="26"/>
              </w:rPr>
              <w:t>DÂN TỈNH GIA LAI</w:t>
            </w:r>
          </w:p>
        </w:tc>
        <w:tc>
          <w:tcPr>
            <w:tcW w:w="5942" w:type="dxa"/>
          </w:tcPr>
          <w:p w14:paraId="28E5229F" w14:textId="77777777" w:rsidR="00DA049D" w:rsidRDefault="007E2B1B" w:rsidP="00C71DF3">
            <w:pPr>
              <w:pStyle w:val="TableParagraph"/>
              <w:spacing w:after="0" w:line="240" w:lineRule="auto"/>
              <w:ind w:left="0" w:right="2"/>
              <w:jc w:val="center"/>
              <w:rPr>
                <w:b/>
                <w:sz w:val="26"/>
                <w:szCs w:val="26"/>
              </w:rPr>
            </w:pPr>
            <w:r>
              <w:rPr>
                <w:b/>
                <w:sz w:val="26"/>
                <w:szCs w:val="26"/>
              </w:rPr>
              <w:t>CỘNG</w:t>
            </w:r>
            <w:r>
              <w:rPr>
                <w:b/>
                <w:spacing w:val="-5"/>
                <w:sz w:val="26"/>
                <w:szCs w:val="26"/>
              </w:rPr>
              <w:t xml:space="preserve"> </w:t>
            </w:r>
            <w:r>
              <w:rPr>
                <w:b/>
                <w:sz w:val="26"/>
                <w:szCs w:val="26"/>
              </w:rPr>
              <w:t>HÒA</w:t>
            </w:r>
            <w:r>
              <w:rPr>
                <w:b/>
                <w:spacing w:val="-1"/>
                <w:sz w:val="26"/>
                <w:szCs w:val="26"/>
              </w:rPr>
              <w:t xml:space="preserve"> </w:t>
            </w:r>
            <w:r>
              <w:rPr>
                <w:b/>
                <w:sz w:val="26"/>
                <w:szCs w:val="26"/>
              </w:rPr>
              <w:t>XÃ</w:t>
            </w:r>
            <w:r>
              <w:rPr>
                <w:b/>
                <w:spacing w:val="-1"/>
                <w:sz w:val="26"/>
                <w:szCs w:val="26"/>
              </w:rPr>
              <w:t xml:space="preserve"> </w:t>
            </w:r>
            <w:r>
              <w:rPr>
                <w:b/>
                <w:sz w:val="26"/>
                <w:szCs w:val="26"/>
              </w:rPr>
              <w:t>HỘI</w:t>
            </w:r>
            <w:r>
              <w:rPr>
                <w:b/>
                <w:spacing w:val="1"/>
                <w:sz w:val="26"/>
                <w:szCs w:val="26"/>
              </w:rPr>
              <w:t xml:space="preserve"> </w:t>
            </w:r>
            <w:r>
              <w:rPr>
                <w:b/>
                <w:sz w:val="26"/>
                <w:szCs w:val="26"/>
              </w:rPr>
              <w:t>CHỦ</w:t>
            </w:r>
            <w:r>
              <w:rPr>
                <w:b/>
                <w:spacing w:val="-2"/>
                <w:sz w:val="26"/>
                <w:szCs w:val="26"/>
              </w:rPr>
              <w:t xml:space="preserve"> </w:t>
            </w:r>
            <w:r>
              <w:rPr>
                <w:b/>
                <w:sz w:val="26"/>
                <w:szCs w:val="26"/>
              </w:rPr>
              <w:t>NGHĨA</w:t>
            </w:r>
            <w:r>
              <w:rPr>
                <w:b/>
                <w:spacing w:val="-2"/>
                <w:sz w:val="26"/>
                <w:szCs w:val="26"/>
              </w:rPr>
              <w:t xml:space="preserve"> </w:t>
            </w:r>
            <w:r>
              <w:rPr>
                <w:b/>
                <w:sz w:val="26"/>
                <w:szCs w:val="26"/>
              </w:rPr>
              <w:t>VIỆT</w:t>
            </w:r>
            <w:r>
              <w:rPr>
                <w:b/>
                <w:spacing w:val="-1"/>
                <w:sz w:val="26"/>
                <w:szCs w:val="26"/>
              </w:rPr>
              <w:t xml:space="preserve"> </w:t>
            </w:r>
            <w:r>
              <w:rPr>
                <w:b/>
                <w:spacing w:val="-5"/>
                <w:sz w:val="26"/>
                <w:szCs w:val="26"/>
              </w:rPr>
              <w:t>NAM</w:t>
            </w:r>
          </w:p>
          <w:p w14:paraId="796DFD68" w14:textId="602DB42B" w:rsidR="00DA049D" w:rsidRDefault="00443C06" w:rsidP="00C71DF3">
            <w:pPr>
              <w:pStyle w:val="TableParagraph"/>
              <w:spacing w:after="0" w:line="240" w:lineRule="auto"/>
              <w:ind w:left="0"/>
              <w:jc w:val="center"/>
              <w:rPr>
                <w:b/>
                <w:sz w:val="28"/>
                <w:szCs w:val="28"/>
              </w:rPr>
            </w:pPr>
            <w:r>
              <w:rPr>
                <w:b/>
                <w:noProof/>
                <w:sz w:val="26"/>
                <w:szCs w:val="26"/>
              </w:rPr>
              <mc:AlternateContent>
                <mc:Choice Requires="wps">
                  <w:drawing>
                    <wp:anchor distT="0" distB="0" distL="114300" distR="114300" simplePos="0" relativeHeight="251656704" behindDoc="0" locked="0" layoutInCell="1" allowOverlap="1" wp14:anchorId="14B06962" wp14:editId="12891D7A">
                      <wp:simplePos x="0" y="0"/>
                      <wp:positionH relativeFrom="column">
                        <wp:posOffset>876300</wp:posOffset>
                      </wp:positionH>
                      <wp:positionV relativeFrom="paragraph">
                        <wp:posOffset>223520</wp:posOffset>
                      </wp:positionV>
                      <wp:extent cx="20193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C661993" id="Straight Connector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7.6pt" to="22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" strokecolor="black [3040]"/>
                  </w:pict>
                </mc:Fallback>
              </mc:AlternateContent>
            </w:r>
            <w:r>
              <w:rPr>
                <w:b/>
                <w:sz w:val="28"/>
                <w:szCs w:val="28"/>
              </w:rPr>
              <w:t>Độc</w:t>
            </w:r>
            <w:r>
              <w:rPr>
                <w:b/>
                <w:spacing w:val="-4"/>
                <w:sz w:val="28"/>
                <w:szCs w:val="28"/>
              </w:rPr>
              <w:t xml:space="preserve"> </w:t>
            </w:r>
            <w:r>
              <w:rPr>
                <w:b/>
                <w:sz w:val="28"/>
                <w:szCs w:val="28"/>
              </w:rPr>
              <w:t>lập</w:t>
            </w:r>
            <w:r>
              <w:rPr>
                <w:b/>
                <w:spacing w:val="-4"/>
                <w:sz w:val="28"/>
                <w:szCs w:val="28"/>
              </w:rPr>
              <w:t xml:space="preserve"> </w:t>
            </w:r>
            <w:r>
              <w:rPr>
                <w:b/>
                <w:sz w:val="28"/>
                <w:szCs w:val="28"/>
              </w:rPr>
              <w:t>-</w:t>
            </w:r>
            <w:r>
              <w:rPr>
                <w:b/>
                <w:spacing w:val="-2"/>
                <w:sz w:val="28"/>
                <w:szCs w:val="28"/>
              </w:rPr>
              <w:t xml:space="preserve"> </w:t>
            </w:r>
            <w:r>
              <w:rPr>
                <w:b/>
                <w:sz w:val="28"/>
                <w:szCs w:val="28"/>
              </w:rPr>
              <w:t>Tự</w:t>
            </w:r>
            <w:r>
              <w:rPr>
                <w:b/>
                <w:spacing w:val="-3"/>
                <w:sz w:val="28"/>
                <w:szCs w:val="28"/>
              </w:rPr>
              <w:t xml:space="preserve"> </w:t>
            </w:r>
            <w:r>
              <w:rPr>
                <w:b/>
                <w:sz w:val="28"/>
                <w:szCs w:val="28"/>
              </w:rPr>
              <w:t>do</w:t>
            </w:r>
            <w:r>
              <w:rPr>
                <w:b/>
                <w:spacing w:val="-4"/>
                <w:sz w:val="28"/>
                <w:szCs w:val="28"/>
              </w:rPr>
              <w:t xml:space="preserve"> </w:t>
            </w:r>
            <w:r>
              <w:rPr>
                <w:b/>
                <w:sz w:val="28"/>
                <w:szCs w:val="28"/>
              </w:rPr>
              <w:t>-</w:t>
            </w:r>
            <w:r>
              <w:rPr>
                <w:b/>
                <w:spacing w:val="-2"/>
                <w:sz w:val="28"/>
                <w:szCs w:val="28"/>
              </w:rPr>
              <w:t xml:space="preserve"> </w:t>
            </w:r>
            <w:r>
              <w:rPr>
                <w:b/>
                <w:sz w:val="28"/>
                <w:szCs w:val="28"/>
              </w:rPr>
              <w:t>Hạnh</w:t>
            </w:r>
            <w:r>
              <w:rPr>
                <w:b/>
                <w:spacing w:val="-4"/>
                <w:sz w:val="28"/>
                <w:szCs w:val="28"/>
              </w:rPr>
              <w:t xml:space="preserve"> phúc</w:t>
            </w:r>
          </w:p>
        </w:tc>
      </w:tr>
      <w:tr w:rsidR="00DA049D" w14:paraId="0F91E307" w14:textId="77777777">
        <w:trPr>
          <w:trHeight w:val="537"/>
        </w:trPr>
        <w:tc>
          <w:tcPr>
            <w:tcW w:w="3125" w:type="dxa"/>
          </w:tcPr>
          <w:p w14:paraId="0152F5D0" w14:textId="6BA78510" w:rsidR="00DA049D" w:rsidRDefault="00443C06" w:rsidP="00C71DF3">
            <w:pPr>
              <w:pStyle w:val="TableParagraph"/>
              <w:tabs>
                <w:tab w:val="left" w:pos="1110"/>
              </w:tabs>
              <w:spacing w:after="0" w:line="240" w:lineRule="auto"/>
              <w:ind w:left="6"/>
              <w:jc w:val="center"/>
              <w:rPr>
                <w:sz w:val="26"/>
                <w:szCs w:val="26"/>
              </w:rPr>
            </w:pPr>
            <w:r>
              <w:rPr>
                <w:noProof/>
              </w:rPr>
              <mc:AlternateContent>
                <mc:Choice Requires="wps">
                  <w:drawing>
                    <wp:anchor distT="0" distB="0" distL="114300" distR="114300" simplePos="0" relativeHeight="251659776" behindDoc="0" locked="0" layoutInCell="1" allowOverlap="1" wp14:anchorId="5A7C7940" wp14:editId="058E0A70">
                      <wp:simplePos x="0" y="0"/>
                      <wp:positionH relativeFrom="column">
                        <wp:posOffset>555625</wp:posOffset>
                      </wp:positionH>
                      <wp:positionV relativeFrom="paragraph">
                        <wp:posOffset>349250</wp:posOffset>
                      </wp:positionV>
                      <wp:extent cx="857250" cy="2667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8572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D61B44" w14:textId="77777777" w:rsidR="00DA049D" w:rsidRPr="00443C06" w:rsidRDefault="007E2B1B" w:rsidP="00443C06">
                                  <w:pPr>
                                    <w:spacing w:after="0" w:line="240" w:lineRule="auto"/>
                                    <w:jc w:val="center"/>
                                    <w:rPr>
                                      <w:b/>
                                    </w:rPr>
                                  </w:pPr>
                                  <w:r w:rsidRPr="00443C06">
                                    <w:rPr>
                                      <w:b/>
                                    </w:rPr>
                                    <w:t>DỰ THẢO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A7C7940" id="_x0000_t202" coordsize="21600,21600" o:spt="202" path="m,l,21600r21600,l21600,xe">
                      <v:stroke joinstyle="miter"/>
                      <v:path gradientshapeok="t" o:connecttype="rect"/>
                    </v:shapetype>
                    <v:shape id="Text Box 1" o:spid="_x0000_s1026" type="#_x0000_t202" style="position:absolute;left:0;text-align:left;margin-left:43.75pt;margin-top:27.5pt;width:67.5pt;height:2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" fillcolor="white [3201]" strokeweight=".5pt">
                      <v:textbox>
                        <w:txbxContent>
                          <w:p w14:paraId="40D61B44" w14:textId="77777777" w:rsidR="00DA049D" w:rsidRPr="00443C06" w:rsidRDefault="007E2B1B" w:rsidP="00443C06">
                            <w:pPr>
                              <w:spacing w:after="0" w:line="240" w:lineRule="auto"/>
                              <w:jc w:val="center"/>
                              <w:rPr>
                                <w:b/>
                              </w:rPr>
                            </w:pPr>
                            <w:r w:rsidRPr="00443C06">
                              <w:rPr>
                                <w:b/>
                              </w:rPr>
                              <w:t>DỰ THẢO</w:t>
                            </w:r>
                          </w:p>
                        </w:txbxContent>
                      </v:textbox>
                    </v:shape>
                  </w:pict>
                </mc:Fallback>
              </mc:AlternateContent>
            </w:r>
            <w:r>
              <w:rPr>
                <w:sz w:val="26"/>
                <w:szCs w:val="26"/>
              </w:rPr>
              <w:t>Số:</w:t>
            </w:r>
            <w:r>
              <w:rPr>
                <w:spacing w:val="28"/>
                <w:sz w:val="26"/>
                <w:szCs w:val="26"/>
              </w:rPr>
              <w:t xml:space="preserve">      </w:t>
            </w:r>
            <w:r w:rsidR="000A51AB">
              <w:rPr>
                <w:spacing w:val="28"/>
                <w:sz w:val="26"/>
                <w:szCs w:val="26"/>
              </w:rPr>
              <w:t xml:space="preserve">  </w:t>
            </w:r>
            <w:r>
              <w:rPr>
                <w:spacing w:val="-2"/>
                <w:sz w:val="26"/>
                <w:szCs w:val="26"/>
                <w:lang w:val="vi-VN"/>
              </w:rPr>
              <w:t>/</w:t>
            </w:r>
            <w:r w:rsidR="007D3894">
              <w:rPr>
                <w:spacing w:val="-2"/>
                <w:sz w:val="26"/>
                <w:szCs w:val="26"/>
              </w:rPr>
              <w:t>202</w:t>
            </w:r>
            <w:r w:rsidR="00A9711B">
              <w:rPr>
                <w:spacing w:val="-2"/>
                <w:sz w:val="26"/>
                <w:szCs w:val="26"/>
              </w:rPr>
              <w:t>6</w:t>
            </w:r>
            <w:r w:rsidR="007D3894">
              <w:rPr>
                <w:spacing w:val="-2"/>
                <w:sz w:val="26"/>
                <w:szCs w:val="26"/>
              </w:rPr>
              <w:t>/</w:t>
            </w:r>
            <w:r w:rsidR="00A9711B">
              <w:rPr>
                <w:spacing w:val="-2"/>
                <w:sz w:val="26"/>
                <w:szCs w:val="26"/>
              </w:rPr>
              <w:t>NQ</w:t>
            </w:r>
            <w:r>
              <w:rPr>
                <w:spacing w:val="-2"/>
                <w:sz w:val="26"/>
                <w:szCs w:val="26"/>
              </w:rPr>
              <w:t>-</w:t>
            </w:r>
            <w:r w:rsidR="00A9711B">
              <w:rPr>
                <w:spacing w:val="-2"/>
                <w:sz w:val="26"/>
                <w:szCs w:val="26"/>
              </w:rPr>
              <w:t>HĐ</w:t>
            </w:r>
            <w:r>
              <w:rPr>
                <w:spacing w:val="-4"/>
                <w:sz w:val="26"/>
                <w:szCs w:val="26"/>
              </w:rPr>
              <w:t>ND</w:t>
            </w:r>
          </w:p>
        </w:tc>
        <w:tc>
          <w:tcPr>
            <w:tcW w:w="5942" w:type="dxa"/>
          </w:tcPr>
          <w:p w14:paraId="66ACD5C5" w14:textId="1C77DF1B" w:rsidR="00DA049D" w:rsidRDefault="007E2B1B" w:rsidP="00C71DF3">
            <w:pPr>
              <w:pStyle w:val="TableParagraph"/>
              <w:spacing w:after="0" w:line="240" w:lineRule="auto"/>
              <w:ind w:left="-11"/>
              <w:jc w:val="center"/>
              <w:rPr>
                <w:i/>
                <w:sz w:val="26"/>
                <w:szCs w:val="26"/>
              </w:rPr>
            </w:pPr>
            <w:r>
              <w:rPr>
                <w:i/>
                <w:sz w:val="26"/>
                <w:szCs w:val="26"/>
              </w:rPr>
              <w:t>Gia</w:t>
            </w:r>
            <w:r>
              <w:rPr>
                <w:i/>
                <w:spacing w:val="-4"/>
                <w:sz w:val="26"/>
                <w:szCs w:val="26"/>
              </w:rPr>
              <w:t xml:space="preserve"> </w:t>
            </w:r>
            <w:r>
              <w:rPr>
                <w:i/>
                <w:sz w:val="26"/>
                <w:szCs w:val="26"/>
              </w:rPr>
              <w:t>Lai,</w:t>
            </w:r>
            <w:r>
              <w:rPr>
                <w:i/>
                <w:spacing w:val="-3"/>
                <w:sz w:val="26"/>
                <w:szCs w:val="26"/>
              </w:rPr>
              <w:t xml:space="preserve"> </w:t>
            </w:r>
            <w:r>
              <w:rPr>
                <w:i/>
                <w:sz w:val="26"/>
                <w:szCs w:val="26"/>
              </w:rPr>
              <w:t>ngày</w:t>
            </w:r>
            <w:r>
              <w:rPr>
                <w:i/>
                <w:spacing w:val="-4"/>
                <w:sz w:val="26"/>
                <w:szCs w:val="26"/>
              </w:rPr>
              <w:t xml:space="preserve"> </w:t>
            </w:r>
            <w:r>
              <w:rPr>
                <w:i/>
                <w:sz w:val="26"/>
                <w:szCs w:val="26"/>
              </w:rPr>
              <w:t xml:space="preserve">  </w:t>
            </w:r>
            <w:r w:rsidR="00553366">
              <w:rPr>
                <w:i/>
                <w:sz w:val="26"/>
                <w:szCs w:val="26"/>
              </w:rPr>
              <w:t xml:space="preserve"> </w:t>
            </w:r>
            <w:r>
              <w:rPr>
                <w:i/>
                <w:spacing w:val="30"/>
                <w:sz w:val="26"/>
                <w:szCs w:val="26"/>
              </w:rPr>
              <w:t xml:space="preserve">  </w:t>
            </w:r>
            <w:r>
              <w:rPr>
                <w:i/>
                <w:sz w:val="26"/>
                <w:szCs w:val="26"/>
              </w:rPr>
              <w:t>tháng</w:t>
            </w:r>
            <w:r>
              <w:rPr>
                <w:i/>
                <w:spacing w:val="3"/>
                <w:sz w:val="26"/>
                <w:szCs w:val="26"/>
              </w:rPr>
              <w:t xml:space="preserve"> </w:t>
            </w:r>
            <w:r>
              <w:rPr>
                <w:i/>
                <w:sz w:val="26"/>
                <w:szCs w:val="26"/>
              </w:rPr>
              <w:t xml:space="preserve">     </w:t>
            </w:r>
            <w:r>
              <w:rPr>
                <w:i/>
                <w:spacing w:val="-10"/>
                <w:sz w:val="26"/>
                <w:szCs w:val="26"/>
              </w:rPr>
              <w:t xml:space="preserve"> </w:t>
            </w:r>
            <w:r>
              <w:rPr>
                <w:i/>
                <w:sz w:val="26"/>
                <w:szCs w:val="26"/>
              </w:rPr>
              <w:t>năm</w:t>
            </w:r>
            <w:r>
              <w:rPr>
                <w:i/>
                <w:spacing w:val="-1"/>
                <w:sz w:val="26"/>
                <w:szCs w:val="26"/>
              </w:rPr>
              <w:t xml:space="preserve"> </w:t>
            </w:r>
            <w:r>
              <w:rPr>
                <w:i/>
                <w:spacing w:val="-4"/>
                <w:sz w:val="26"/>
                <w:szCs w:val="26"/>
              </w:rPr>
              <w:t>202</w:t>
            </w:r>
            <w:r w:rsidR="00A9711B">
              <w:rPr>
                <w:i/>
                <w:spacing w:val="-4"/>
                <w:sz w:val="26"/>
                <w:szCs w:val="26"/>
              </w:rPr>
              <w:t>6</w:t>
            </w:r>
          </w:p>
        </w:tc>
      </w:tr>
    </w:tbl>
    <w:p w14:paraId="6ABF372B" w14:textId="1F4CC05B" w:rsidR="00DA049D" w:rsidRDefault="00DA049D" w:rsidP="00C71DF3">
      <w:pPr>
        <w:pStyle w:val="BodyText"/>
        <w:spacing w:before="0" w:line="240" w:lineRule="auto"/>
        <w:ind w:left="0" w:firstLine="0"/>
      </w:pPr>
    </w:p>
    <w:p w14:paraId="44B44C3B" w14:textId="405373A0" w:rsidR="00DA049D" w:rsidRDefault="00A9711B" w:rsidP="00C71DF3">
      <w:pPr>
        <w:pStyle w:val="Heading1"/>
        <w:spacing w:after="0" w:line="240" w:lineRule="auto"/>
        <w:ind w:left="0" w:right="0"/>
        <w:rPr>
          <w:spacing w:val="-4"/>
        </w:rPr>
      </w:pPr>
      <w:r>
        <w:t xml:space="preserve">NGHỊ </w:t>
      </w:r>
      <w:r w:rsidR="007E2B1B">
        <w:t>QUYẾT</w:t>
      </w:r>
    </w:p>
    <w:p w14:paraId="06CBF225" w14:textId="614D1003" w:rsidR="00BB189A" w:rsidRPr="00F51B22" w:rsidRDefault="00A9711B" w:rsidP="00BB189A">
      <w:pPr>
        <w:shd w:val="clear" w:color="auto" w:fill="FFFFFF"/>
        <w:spacing w:after="0" w:line="234" w:lineRule="atLeast"/>
        <w:jc w:val="center"/>
        <w:rPr>
          <w:b/>
          <w:bCs/>
          <w:color w:val="000000"/>
          <w:sz w:val="28"/>
          <w:szCs w:val="28"/>
        </w:rPr>
      </w:pPr>
      <w:r w:rsidRPr="00F51B22">
        <w:rPr>
          <w:b/>
          <w:bCs/>
          <w:color w:val="000000"/>
          <w:sz w:val="28"/>
          <w:szCs w:val="28"/>
        </w:rPr>
        <w:t xml:space="preserve">Quy định mức chi </w:t>
      </w:r>
      <w:r w:rsidR="00F51B22" w:rsidRPr="00F51B22">
        <w:rPr>
          <w:b/>
          <w:bCs/>
          <w:color w:val="000000"/>
          <w:sz w:val="28"/>
          <w:szCs w:val="28"/>
          <w:lang w:val="vi-VN"/>
        </w:rPr>
        <w:t>và việc sử dụng kinh phí thực hiện công tác thăm dò, khai quật khảo cổ từ nguồn ngân sách nhà nước trên địa bàn tỉnh Gia Lai</w:t>
      </w:r>
    </w:p>
    <w:p w14:paraId="1DF4EB85" w14:textId="4914534B" w:rsidR="00DA049D" w:rsidRDefault="00DA049D" w:rsidP="00BB189A">
      <w:pPr>
        <w:pStyle w:val="Heading1"/>
        <w:spacing w:after="0" w:line="240" w:lineRule="auto"/>
        <w:ind w:left="0" w:right="0"/>
      </w:pPr>
    </w:p>
    <w:p w14:paraId="568F0CC6" w14:textId="07C56DF3" w:rsidR="00C71DF3" w:rsidRPr="00B47E01" w:rsidRDefault="00C71DF3" w:rsidP="008B1631">
      <w:pPr>
        <w:spacing w:before="120" w:after="0" w:line="276" w:lineRule="auto"/>
        <w:ind w:right="3" w:firstLine="567"/>
        <w:jc w:val="both"/>
        <w:rPr>
          <w:i/>
          <w:sz w:val="28"/>
          <w:szCs w:val="28"/>
        </w:rPr>
      </w:pPr>
      <w:r>
        <w:rPr>
          <w:i/>
          <w:sz w:val="28"/>
          <w:szCs w:val="28"/>
        </w:rPr>
        <w:t xml:space="preserve">Căn cứ </w:t>
      </w:r>
      <w:r w:rsidRPr="00B47E01">
        <w:rPr>
          <w:i/>
          <w:sz w:val="28"/>
          <w:szCs w:val="28"/>
        </w:rPr>
        <w:t xml:space="preserve">Luật Tổ chức chính quyền địa phương </w:t>
      </w:r>
      <w:r w:rsidR="006C5FF7" w:rsidRPr="00B47E01">
        <w:rPr>
          <w:i/>
          <w:sz w:val="28"/>
          <w:szCs w:val="28"/>
        </w:rPr>
        <w:t>số 72/2025/QH15</w:t>
      </w:r>
      <w:r w:rsidRPr="00B47E01">
        <w:rPr>
          <w:i/>
          <w:sz w:val="28"/>
          <w:szCs w:val="28"/>
        </w:rPr>
        <w:t>;</w:t>
      </w:r>
    </w:p>
    <w:p w14:paraId="0AE6968A" w14:textId="34A6321D" w:rsidR="007D3894" w:rsidRPr="00B47E01" w:rsidRDefault="007D3894" w:rsidP="008B1631">
      <w:pPr>
        <w:spacing w:before="120" w:after="0" w:line="276" w:lineRule="auto"/>
        <w:ind w:right="3" w:firstLine="567"/>
        <w:jc w:val="both"/>
        <w:rPr>
          <w:i/>
          <w:iCs/>
          <w:sz w:val="28"/>
          <w:szCs w:val="28"/>
        </w:rPr>
      </w:pPr>
      <w:r w:rsidRPr="00B47E01">
        <w:rPr>
          <w:i/>
          <w:iCs/>
          <w:sz w:val="28"/>
          <w:szCs w:val="28"/>
        </w:rPr>
        <w:t xml:space="preserve">Căn cứ Luật Ban hành văn bản quy phạm pháp luật </w:t>
      </w:r>
      <w:r w:rsidR="006C5FF7" w:rsidRPr="00B47E01">
        <w:rPr>
          <w:i/>
          <w:iCs/>
          <w:sz w:val="28"/>
          <w:szCs w:val="28"/>
        </w:rPr>
        <w:t>số 64/2025/QH15</w:t>
      </w:r>
      <w:r w:rsidR="008E1E63" w:rsidRPr="00B47E01">
        <w:rPr>
          <w:i/>
          <w:iCs/>
          <w:sz w:val="28"/>
          <w:szCs w:val="28"/>
        </w:rPr>
        <w:t>;</w:t>
      </w:r>
      <w:r w:rsidR="00C7497D" w:rsidRPr="00B47E01">
        <w:rPr>
          <w:i/>
          <w:iCs/>
          <w:sz w:val="28"/>
          <w:szCs w:val="28"/>
        </w:rPr>
        <w:t xml:space="preserve"> Luật sửa đổi, bổ sung một số điều của Luật Ban hành văn bản quy phạm pháp luật</w:t>
      </w:r>
      <w:r w:rsidR="006C5FF7" w:rsidRPr="00B47E01">
        <w:rPr>
          <w:i/>
          <w:iCs/>
          <w:sz w:val="28"/>
          <w:szCs w:val="28"/>
        </w:rPr>
        <w:t xml:space="preserve"> số 87/2025/QH15</w:t>
      </w:r>
      <w:r w:rsidR="00C7497D" w:rsidRPr="00B47E01">
        <w:rPr>
          <w:i/>
          <w:iCs/>
          <w:sz w:val="28"/>
          <w:szCs w:val="28"/>
        </w:rPr>
        <w:t>;</w:t>
      </w:r>
    </w:p>
    <w:p w14:paraId="038DA565" w14:textId="686570A0" w:rsidR="00A9711B" w:rsidRPr="00B47E01" w:rsidRDefault="00A9711B" w:rsidP="008B1631">
      <w:pPr>
        <w:spacing w:before="120" w:after="0" w:line="276" w:lineRule="auto"/>
        <w:ind w:firstLine="567"/>
        <w:jc w:val="both"/>
        <w:rPr>
          <w:i/>
          <w:iCs/>
          <w:sz w:val="28"/>
          <w:szCs w:val="28"/>
        </w:rPr>
      </w:pPr>
      <w:r w:rsidRPr="00B47E01">
        <w:rPr>
          <w:i/>
          <w:iCs/>
          <w:sz w:val="28"/>
          <w:szCs w:val="28"/>
        </w:rPr>
        <w:t>Căn cứ Luật Ngân sách nhà nước số 89/2025/QH15;</w:t>
      </w:r>
    </w:p>
    <w:p w14:paraId="30BA89EF" w14:textId="1C50FBE6" w:rsidR="00A9711B" w:rsidRPr="00F51B22" w:rsidRDefault="00A9711B" w:rsidP="008B1631">
      <w:pPr>
        <w:shd w:val="clear" w:color="auto" w:fill="FFFFFF"/>
        <w:spacing w:before="120" w:after="0" w:line="276" w:lineRule="auto"/>
        <w:ind w:firstLine="567"/>
        <w:jc w:val="both"/>
        <w:rPr>
          <w:i/>
          <w:iCs/>
          <w:sz w:val="28"/>
          <w:szCs w:val="28"/>
        </w:rPr>
      </w:pPr>
      <w:r w:rsidRPr="00B47E01">
        <w:rPr>
          <w:i/>
          <w:iCs/>
          <w:color w:val="000000"/>
          <w:sz w:val="28"/>
          <w:szCs w:val="28"/>
        </w:rPr>
        <w:t xml:space="preserve">Căn cứ </w:t>
      </w:r>
      <w:r w:rsidR="00F51B22">
        <w:rPr>
          <w:i/>
          <w:iCs/>
          <w:color w:val="000000"/>
          <w:sz w:val="28"/>
          <w:szCs w:val="28"/>
        </w:rPr>
        <w:t xml:space="preserve">Thông tư </w:t>
      </w:r>
      <w:r w:rsidR="00F51B22" w:rsidRPr="00F51B22">
        <w:rPr>
          <w:i/>
          <w:iCs/>
          <w:sz w:val="28"/>
          <w:szCs w:val="28"/>
        </w:rPr>
        <w:t xml:space="preserve">số 67/2019/TT-BTC ngày 23 tháng 9 năm 2019 của Bộ trưởng Bộ Tài chính </w:t>
      </w:r>
      <w:r w:rsidR="004D6516" w:rsidRPr="00F51B22">
        <w:rPr>
          <w:i/>
          <w:iCs/>
          <w:sz w:val="28"/>
          <w:szCs w:val="28"/>
        </w:rPr>
        <w:t xml:space="preserve">Quy </w:t>
      </w:r>
      <w:r w:rsidR="00F51B22" w:rsidRPr="00F51B22">
        <w:rPr>
          <w:i/>
          <w:iCs/>
          <w:sz w:val="28"/>
          <w:szCs w:val="28"/>
        </w:rPr>
        <w:t>định nội dung và mức chi thực hiện công tác thăm dò, khai quật khảo cổ từ nguồn ngân sách nhà nước;</w:t>
      </w:r>
    </w:p>
    <w:p w14:paraId="57C91498" w14:textId="1733F11E" w:rsidR="00A9711B" w:rsidRPr="00B47E01" w:rsidRDefault="00A9711B" w:rsidP="008B1631">
      <w:pPr>
        <w:spacing w:before="120" w:after="0" w:line="276" w:lineRule="auto"/>
        <w:ind w:firstLine="567"/>
        <w:jc w:val="both"/>
        <w:rPr>
          <w:i/>
          <w:sz w:val="28"/>
          <w:szCs w:val="28"/>
        </w:rPr>
      </w:pPr>
      <w:r w:rsidRPr="00B47E01">
        <w:rPr>
          <w:i/>
          <w:iCs/>
          <w:sz w:val="28"/>
          <w:szCs w:val="28"/>
        </w:rPr>
        <w:t xml:space="preserve">Xét Tờ trình số …/TTr-UBND ngày .. tháng … năm 2026 của Ủy ban nhân dân tỉnh </w:t>
      </w:r>
      <w:r w:rsidR="00B53338">
        <w:rPr>
          <w:i/>
          <w:iCs/>
          <w:sz w:val="28"/>
          <w:szCs w:val="28"/>
        </w:rPr>
        <w:t xml:space="preserve">Gia Lai </w:t>
      </w:r>
      <w:r w:rsidRPr="00B47E01">
        <w:rPr>
          <w:i/>
          <w:iCs/>
          <w:sz w:val="28"/>
          <w:szCs w:val="28"/>
        </w:rPr>
        <w:t xml:space="preserve">về việc ban hành Nghị quyết Quy định mức chi </w:t>
      </w:r>
      <w:r w:rsidR="00F51B22" w:rsidRPr="00F51B22">
        <w:rPr>
          <w:i/>
          <w:iCs/>
          <w:color w:val="000000"/>
          <w:sz w:val="28"/>
          <w:szCs w:val="28"/>
          <w:lang w:val="vi-VN"/>
        </w:rPr>
        <w:t>và việc sử dụng kinh phí thực hiện công tác thăm dò, khai quật khảo cổ từ nguồn ngân sách nhà nước trên địa bàn tỉnh Gia Lai</w:t>
      </w:r>
      <w:r w:rsidRPr="00B47E01">
        <w:rPr>
          <w:i/>
          <w:iCs/>
          <w:sz w:val="28"/>
          <w:szCs w:val="28"/>
        </w:rPr>
        <w:t>; Báo cáo thẩm tra của Ban Văn hóa - Xã hội Hội đồng nhân dân tỉn</w:t>
      </w:r>
      <w:r w:rsidR="00B53338">
        <w:rPr>
          <w:i/>
          <w:iCs/>
          <w:sz w:val="28"/>
          <w:szCs w:val="28"/>
        </w:rPr>
        <w:t>h Gia Lai</w:t>
      </w:r>
      <w:r w:rsidRPr="00B47E01">
        <w:rPr>
          <w:i/>
          <w:iCs/>
          <w:sz w:val="28"/>
          <w:szCs w:val="28"/>
        </w:rPr>
        <w:t>; ý kiến thảo luận của đại biểu Hội đồng nhân dân tại kỳ họp;</w:t>
      </w:r>
    </w:p>
    <w:p w14:paraId="67015FFF" w14:textId="564F4232" w:rsidR="00DA049D" w:rsidRPr="00B47E01" w:rsidRDefault="00A9711B" w:rsidP="008B1631">
      <w:pPr>
        <w:pStyle w:val="BodyText"/>
        <w:spacing w:before="120" w:after="0" w:line="276" w:lineRule="auto"/>
        <w:ind w:left="0" w:right="3" w:firstLine="567"/>
        <w:rPr>
          <w:i/>
        </w:rPr>
      </w:pPr>
      <w:r w:rsidRPr="00B47E01">
        <w:rPr>
          <w:i/>
        </w:rPr>
        <w:t>Hội đồng</w:t>
      </w:r>
      <w:r w:rsidR="006C5FF7" w:rsidRPr="00B47E01">
        <w:rPr>
          <w:i/>
        </w:rPr>
        <w:t xml:space="preserve"> nhân dân ban hành </w:t>
      </w:r>
      <w:r w:rsidRPr="00B47E01">
        <w:rPr>
          <w:i/>
          <w:iCs/>
        </w:rPr>
        <w:t xml:space="preserve">Nghị quyết Quy định mức chi </w:t>
      </w:r>
      <w:r w:rsidR="00F51B22" w:rsidRPr="00F51B22">
        <w:rPr>
          <w:i/>
          <w:iCs/>
          <w:color w:val="000000"/>
          <w:lang w:val="vi-VN"/>
        </w:rPr>
        <w:t>và việc sử dụng kinh phí thực hiện công tác thăm dò, khai quật khảo cổ từ nguồn ngân sách nhà nước trên địa bàn tỉnh Gia Lai</w:t>
      </w:r>
      <w:r w:rsidR="006C5FF7" w:rsidRPr="00B47E01">
        <w:rPr>
          <w:i/>
          <w:iCs/>
        </w:rPr>
        <w:t>.</w:t>
      </w:r>
    </w:p>
    <w:p w14:paraId="2853EE03" w14:textId="6E27C194" w:rsidR="00BB189A" w:rsidRPr="00F51B22" w:rsidRDefault="00BB189A" w:rsidP="008B1631">
      <w:pPr>
        <w:shd w:val="clear" w:color="auto" w:fill="FFFFFF"/>
        <w:spacing w:before="120" w:after="0" w:line="276" w:lineRule="auto"/>
        <w:ind w:firstLine="567"/>
        <w:jc w:val="both"/>
        <w:rPr>
          <w:color w:val="000000"/>
          <w:sz w:val="28"/>
          <w:szCs w:val="28"/>
        </w:rPr>
      </w:pPr>
      <w:r w:rsidRPr="00F51B22">
        <w:rPr>
          <w:b/>
          <w:bCs/>
          <w:color w:val="000000"/>
          <w:sz w:val="28"/>
          <w:szCs w:val="28"/>
          <w:lang w:val="vi-VN"/>
        </w:rPr>
        <w:t>Điều 1. </w:t>
      </w:r>
      <w:r w:rsidRPr="00F51B22">
        <w:rPr>
          <w:color w:val="000000"/>
          <w:sz w:val="28"/>
          <w:szCs w:val="28"/>
          <w:lang w:val="pt-BR"/>
        </w:rPr>
        <w:t xml:space="preserve">Quy định mức chi và việc sử dụng kinh phí thực hiện công tác thăm dò, khai quật khảo cổ từ nguồn ngân sách nhà nước trên địa bàn tỉnh </w:t>
      </w:r>
      <w:r w:rsidR="004D6516">
        <w:rPr>
          <w:color w:val="000000"/>
          <w:sz w:val="28"/>
          <w:szCs w:val="28"/>
          <w:lang w:val="pt-BR"/>
        </w:rPr>
        <w:t>Gia Lai</w:t>
      </w:r>
      <w:r w:rsidRPr="00F51B22">
        <w:rPr>
          <w:color w:val="000000"/>
          <w:sz w:val="28"/>
          <w:szCs w:val="28"/>
          <w:lang w:val="pt-BR"/>
        </w:rPr>
        <w:t>, cụ thể như sau:</w:t>
      </w:r>
    </w:p>
    <w:p w14:paraId="36DEAC60" w14:textId="270A8DD3" w:rsidR="00BB189A" w:rsidRPr="004D6516" w:rsidRDefault="00BB189A" w:rsidP="008B1631">
      <w:pPr>
        <w:shd w:val="clear" w:color="auto" w:fill="FFFFFF"/>
        <w:spacing w:before="120" w:after="0" w:line="276" w:lineRule="auto"/>
        <w:ind w:firstLine="567"/>
        <w:jc w:val="both"/>
        <w:rPr>
          <w:color w:val="000000"/>
          <w:sz w:val="28"/>
          <w:szCs w:val="28"/>
        </w:rPr>
      </w:pPr>
      <w:r w:rsidRPr="00E743DE">
        <w:rPr>
          <w:color w:val="000000"/>
          <w:sz w:val="28"/>
          <w:szCs w:val="28"/>
          <w:lang w:val="vi-VN"/>
        </w:rPr>
        <w:t>1.</w:t>
      </w:r>
      <w:r w:rsidRPr="00F51B22">
        <w:rPr>
          <w:b/>
          <w:bCs/>
          <w:color w:val="000000"/>
          <w:sz w:val="28"/>
          <w:szCs w:val="28"/>
          <w:lang w:val="vi-VN"/>
        </w:rPr>
        <w:t xml:space="preserve"> </w:t>
      </w:r>
      <w:r w:rsidRPr="004D6516">
        <w:rPr>
          <w:color w:val="000000"/>
          <w:sz w:val="28"/>
          <w:szCs w:val="28"/>
          <w:lang w:val="vi-VN"/>
        </w:rPr>
        <w:t>Mức chi thực hiện công tác thăm dò, khai quật khảo cổ từ nguồn ngân sách địa phương</w:t>
      </w:r>
      <w:r w:rsidR="004D6516">
        <w:rPr>
          <w:color w:val="000000"/>
          <w:sz w:val="28"/>
          <w:szCs w:val="28"/>
        </w:rPr>
        <w:t>:</w:t>
      </w:r>
    </w:p>
    <w:p w14:paraId="1787BD10" w14:textId="77777777" w:rsidR="00BB189A" w:rsidRPr="00F51B22" w:rsidRDefault="00BB189A" w:rsidP="008B1631">
      <w:pPr>
        <w:spacing w:before="120" w:after="0" w:line="276" w:lineRule="auto"/>
        <w:ind w:firstLine="567"/>
        <w:jc w:val="both"/>
        <w:rPr>
          <w:color w:val="000000"/>
          <w:sz w:val="28"/>
          <w:szCs w:val="28"/>
        </w:rPr>
      </w:pPr>
      <w:r w:rsidRPr="00F51B22">
        <w:rPr>
          <w:color w:val="000000"/>
          <w:sz w:val="28"/>
          <w:szCs w:val="28"/>
          <w:lang w:val="vi-VN"/>
        </w:rPr>
        <w:t xml:space="preserve">a) Chi thù lao cho cán bộ khoa học, kỹ thuật (là người của cơ quan có chức năng thực hiện dự án thăm dò, khai quật khảo cổ hoặc được cử tham gia thường xuyên và trực tiếp vào dự án thăm dò, khai quật khảo cổ): Mức chi 300.000 đồng/người/ngày. Số ngày làm căn cứ để thanh toán chi bồi dưỡng là số ngày thực tế trực tiếp làm việc tại hiện trường khai quật hoặc trực tiếp thực hiện các nhiệm vụ chỉnh lý hiện vật khảo cổ theo sự phân công và có sự xác nhận của thủ trưởng </w:t>
      </w:r>
      <w:r w:rsidRPr="00F51B22">
        <w:rPr>
          <w:color w:val="000000"/>
          <w:sz w:val="28"/>
          <w:szCs w:val="28"/>
          <w:lang w:val="vi-VN"/>
        </w:rPr>
        <w:lastRenderedPageBreak/>
        <w:t>đơn vị hoặc chủ nhiệm đề tài/dự án trong phạm vi dự toán được cấp có thẩm quyền phê duyệt.</w:t>
      </w:r>
    </w:p>
    <w:p w14:paraId="4D6CCEA7" w14:textId="77777777" w:rsidR="00BB189A" w:rsidRPr="00F51B22" w:rsidRDefault="00BB189A" w:rsidP="008B1631">
      <w:pPr>
        <w:shd w:val="clear" w:color="auto" w:fill="FFFFFF"/>
        <w:spacing w:before="120" w:after="0" w:line="276" w:lineRule="auto"/>
        <w:ind w:firstLine="567"/>
        <w:jc w:val="both"/>
        <w:rPr>
          <w:color w:val="000000"/>
          <w:sz w:val="28"/>
          <w:szCs w:val="28"/>
        </w:rPr>
      </w:pPr>
      <w:r w:rsidRPr="00F51B22">
        <w:rPr>
          <w:color w:val="000000"/>
          <w:sz w:val="28"/>
          <w:szCs w:val="28"/>
          <w:lang w:val="vi-VN"/>
        </w:rPr>
        <w:t>Ngoài mức chi bồi dưỡng nêu trên, cán bộ khoa học, kỹ thuật vẫn được hưởng chế độ lương, các loại phụ cấp đang hiện hưởng, chế độ công tác phí theo quy định đối với các cơ quan hành chính và đơn vị sự nghiệp công lập.</w:t>
      </w:r>
    </w:p>
    <w:p w14:paraId="506CEE53" w14:textId="77777777" w:rsidR="004D6516" w:rsidRDefault="00BB189A" w:rsidP="008B1631">
      <w:pPr>
        <w:shd w:val="clear" w:color="auto" w:fill="FFFFFF"/>
        <w:spacing w:before="120" w:after="0" w:line="276" w:lineRule="auto"/>
        <w:ind w:firstLine="567"/>
        <w:jc w:val="both"/>
        <w:rPr>
          <w:color w:val="000000"/>
          <w:sz w:val="28"/>
          <w:szCs w:val="28"/>
          <w:lang w:val="vi-VN"/>
        </w:rPr>
      </w:pPr>
      <w:r w:rsidRPr="00F51B22">
        <w:rPr>
          <w:color w:val="000000"/>
          <w:sz w:val="28"/>
          <w:szCs w:val="28"/>
          <w:lang w:val="vi-VN"/>
        </w:rPr>
        <w:t>b) Chi thù lao đối với chuyên gia tư vấn khoa học cho công tác thăm dò, khai quật khảo cổ (là người ký hợp đồng tham gia tư vấn khoa học trong quá trình xây dựng và thực hiện dự án thăm dò, khai quật khảo cổ): Chuyên gia tư vấn khoa học tham gia tư vấn dự án thăm dò, khai quật khảo cổ theo hình thức hợp đồng tư vấn. Mức chi cho chuyên gia tư vấn khoa học làm căn cứ để ký kết hợp đồng trọn gói cho những ngày tham gia tư vấn: 650.000 đồng/ngày/người</w:t>
      </w:r>
      <w:r w:rsidR="00F51B22">
        <w:rPr>
          <w:color w:val="000000"/>
          <w:sz w:val="28"/>
          <w:szCs w:val="28"/>
        </w:rPr>
        <w:t>.</w:t>
      </w:r>
      <w:r w:rsidRPr="00F51B22">
        <w:rPr>
          <w:color w:val="000000"/>
          <w:sz w:val="28"/>
          <w:szCs w:val="28"/>
          <w:lang w:val="vi-VN"/>
        </w:rPr>
        <w:t xml:space="preserve"> </w:t>
      </w:r>
    </w:p>
    <w:p w14:paraId="6240AD37" w14:textId="385C8527" w:rsidR="00BB189A" w:rsidRPr="00F51B22" w:rsidRDefault="00F51B22" w:rsidP="008B1631">
      <w:pPr>
        <w:shd w:val="clear" w:color="auto" w:fill="FFFFFF"/>
        <w:spacing w:before="120" w:after="0" w:line="276" w:lineRule="auto"/>
        <w:ind w:firstLine="567"/>
        <w:jc w:val="both"/>
        <w:rPr>
          <w:color w:val="000000"/>
          <w:sz w:val="28"/>
          <w:szCs w:val="28"/>
        </w:rPr>
      </w:pPr>
      <w:r w:rsidRPr="00F51B22">
        <w:rPr>
          <w:color w:val="000000"/>
          <w:sz w:val="28"/>
          <w:szCs w:val="28"/>
          <w:lang w:val="vi-VN"/>
        </w:rPr>
        <w:t xml:space="preserve">Ngoài </w:t>
      </w:r>
      <w:r w:rsidR="00BB189A" w:rsidRPr="00F51B22">
        <w:rPr>
          <w:color w:val="000000"/>
          <w:sz w:val="28"/>
          <w:szCs w:val="28"/>
          <w:lang w:val="vi-VN"/>
        </w:rPr>
        <w:t>mức thù lao trên, chuyên gia tư vấn khoa học được thanh toán tiền thuê phòng nghỉ tại nơi đến công tác, tiền tàu, xe (nếu có) theo quy định hiện hành của Nhà nước.</w:t>
      </w:r>
    </w:p>
    <w:p w14:paraId="6641FAEF" w14:textId="1BDEA461" w:rsidR="00BB189A" w:rsidRPr="00344C7E" w:rsidRDefault="00BB189A" w:rsidP="008B1631">
      <w:pPr>
        <w:shd w:val="clear" w:color="auto" w:fill="FFFFFF"/>
        <w:spacing w:before="120" w:after="0" w:line="276" w:lineRule="auto"/>
        <w:ind w:firstLine="567"/>
        <w:jc w:val="both"/>
        <w:rPr>
          <w:color w:val="000000"/>
          <w:sz w:val="28"/>
          <w:szCs w:val="28"/>
        </w:rPr>
      </w:pPr>
      <w:r w:rsidRPr="00F51B22">
        <w:rPr>
          <w:color w:val="000000"/>
          <w:sz w:val="28"/>
          <w:szCs w:val="28"/>
          <w:lang w:val="vi-VN"/>
        </w:rPr>
        <w:t xml:space="preserve">c) Mức chi thuê khoán nhân công phục vụ công tác điều tra, đào thăm dò, khai quật khảo cổ, phân loại chỉnh </w:t>
      </w:r>
      <w:r w:rsidRPr="00344C7E">
        <w:rPr>
          <w:sz w:val="28"/>
          <w:szCs w:val="28"/>
          <w:lang w:val="vi-VN"/>
        </w:rPr>
        <w:t xml:space="preserve">lý di vật; chi thuê khoán bảo vệ công trường và kho tạm 24/24h: </w:t>
      </w:r>
      <w:r w:rsidR="00F540F0" w:rsidRPr="00F540F0">
        <w:rPr>
          <w:sz w:val="28"/>
          <w:szCs w:val="28"/>
        </w:rPr>
        <w:t>Chi theo hợp đồng thỏa thuận theo mức giá thuê khoán nhân công trên địa bàn</w:t>
      </w:r>
      <w:r w:rsidR="00F540F0">
        <w:rPr>
          <w:sz w:val="28"/>
          <w:szCs w:val="28"/>
        </w:rPr>
        <w:t>; mức chi</w:t>
      </w:r>
      <w:r w:rsidR="00344C7E" w:rsidRPr="00344C7E">
        <w:rPr>
          <w:rStyle w:val="bzpyqfadein"/>
          <w:bCs/>
          <w:sz w:val="28"/>
          <w:szCs w:val="28"/>
        </w:rPr>
        <w:t xml:space="preserve"> 3</w:t>
      </w:r>
      <w:r w:rsidR="00F540F0">
        <w:rPr>
          <w:rStyle w:val="bzpyqfadein"/>
          <w:bCs/>
          <w:sz w:val="28"/>
          <w:szCs w:val="28"/>
        </w:rPr>
        <w:t>5</w:t>
      </w:r>
      <w:r w:rsidR="00344C7E" w:rsidRPr="00344C7E">
        <w:rPr>
          <w:rStyle w:val="bzpyqfadein"/>
          <w:bCs/>
          <w:sz w:val="28"/>
          <w:szCs w:val="28"/>
        </w:rPr>
        <w:t>0.000 đồng/người/ngày.</w:t>
      </w:r>
      <w:r w:rsidR="00344C7E" w:rsidRPr="00344C7E">
        <w:rPr>
          <w:sz w:val="28"/>
          <w:szCs w:val="28"/>
          <w:lang w:val="vi-VN"/>
        </w:rPr>
        <w:t xml:space="preserve"> </w:t>
      </w:r>
    </w:p>
    <w:p w14:paraId="0C448881" w14:textId="77777777" w:rsidR="00BB189A" w:rsidRPr="00F51B22" w:rsidRDefault="00BB189A" w:rsidP="008B1631">
      <w:pPr>
        <w:shd w:val="clear" w:color="auto" w:fill="FFFFFF"/>
        <w:spacing w:before="120" w:after="0" w:line="276" w:lineRule="auto"/>
        <w:ind w:firstLine="567"/>
        <w:jc w:val="both"/>
        <w:rPr>
          <w:color w:val="000000"/>
          <w:sz w:val="28"/>
          <w:szCs w:val="28"/>
        </w:rPr>
      </w:pPr>
      <w:r w:rsidRPr="00F51B22">
        <w:rPr>
          <w:color w:val="000000"/>
          <w:sz w:val="28"/>
          <w:szCs w:val="28"/>
          <w:lang w:val="vi-VN"/>
        </w:rPr>
        <w:t>d) Mức chi viết báo cáo kết quả thăm dò, khai quật khảo cổ:</w:t>
      </w:r>
    </w:p>
    <w:p w14:paraId="3C3582FF" w14:textId="77777777" w:rsidR="00BB189A" w:rsidRPr="00F51B22" w:rsidRDefault="00BB189A" w:rsidP="008B1631">
      <w:pPr>
        <w:shd w:val="clear" w:color="auto" w:fill="FFFFFF"/>
        <w:spacing w:before="120" w:after="0" w:line="276" w:lineRule="auto"/>
        <w:ind w:firstLine="567"/>
        <w:jc w:val="both"/>
        <w:rPr>
          <w:color w:val="000000"/>
          <w:sz w:val="28"/>
          <w:szCs w:val="28"/>
        </w:rPr>
      </w:pPr>
      <w:r w:rsidRPr="00F51B22">
        <w:rPr>
          <w:color w:val="000000"/>
          <w:sz w:val="28"/>
          <w:szCs w:val="28"/>
          <w:lang w:val="vi-VN"/>
        </w:rPr>
        <w:t>- Mức chi viết báo cáo sơ bộ: 4.000.000 đồng/báo cáo.</w:t>
      </w:r>
    </w:p>
    <w:p w14:paraId="6BEF4B13" w14:textId="77777777" w:rsidR="00BB189A" w:rsidRPr="00F51B22" w:rsidRDefault="00BB189A" w:rsidP="008B1631">
      <w:pPr>
        <w:shd w:val="clear" w:color="auto" w:fill="FFFFFF"/>
        <w:spacing w:before="120" w:after="0" w:line="276" w:lineRule="auto"/>
        <w:ind w:firstLine="567"/>
        <w:jc w:val="both"/>
        <w:rPr>
          <w:color w:val="000000"/>
          <w:sz w:val="28"/>
          <w:szCs w:val="28"/>
        </w:rPr>
      </w:pPr>
      <w:r w:rsidRPr="00F51B22">
        <w:rPr>
          <w:color w:val="000000"/>
          <w:sz w:val="28"/>
          <w:szCs w:val="28"/>
          <w:lang w:val="vi-VN"/>
        </w:rPr>
        <w:t>- Mức chi viết báo cáo khoa học: 12.000.000 đồng/báo cáo.</w:t>
      </w:r>
    </w:p>
    <w:p w14:paraId="561FFAF5" w14:textId="77777777" w:rsidR="00BB189A" w:rsidRPr="00F51B22" w:rsidRDefault="00BB189A" w:rsidP="008B1631">
      <w:pPr>
        <w:shd w:val="clear" w:color="auto" w:fill="FFFFFF"/>
        <w:spacing w:before="120" w:after="0" w:line="276" w:lineRule="auto"/>
        <w:ind w:firstLine="567"/>
        <w:jc w:val="both"/>
        <w:rPr>
          <w:color w:val="000000"/>
          <w:sz w:val="28"/>
          <w:szCs w:val="28"/>
        </w:rPr>
      </w:pPr>
      <w:r w:rsidRPr="00F51B22">
        <w:rPr>
          <w:color w:val="000000"/>
          <w:sz w:val="28"/>
          <w:szCs w:val="28"/>
          <w:lang w:val="vi-VN"/>
        </w:rPr>
        <w:t>đ) Mức chi cho công tác lập hồ sơ khoa học:</w:t>
      </w:r>
    </w:p>
    <w:p w14:paraId="23EB67F1" w14:textId="77777777" w:rsidR="00BB189A" w:rsidRPr="00F51B22" w:rsidRDefault="00BB189A" w:rsidP="008B1631">
      <w:pPr>
        <w:shd w:val="clear" w:color="auto" w:fill="FFFFFF"/>
        <w:spacing w:before="120" w:after="0" w:line="276" w:lineRule="auto"/>
        <w:ind w:firstLine="567"/>
        <w:jc w:val="both"/>
        <w:rPr>
          <w:color w:val="000000"/>
          <w:sz w:val="28"/>
          <w:szCs w:val="28"/>
        </w:rPr>
      </w:pPr>
      <w:r w:rsidRPr="00F51B22">
        <w:rPr>
          <w:color w:val="000000"/>
          <w:sz w:val="28"/>
          <w:szCs w:val="28"/>
          <w:lang w:val="vi-VN"/>
        </w:rPr>
        <w:t>- Chi dập hoa văn và văn bia: 100.000 đồng/bản (khổ A4), 150.000 đồng/bản (khổ A3), 250.000 đồng/bản (khổ A2), 450.000 đồng/bản (khổ A0).</w:t>
      </w:r>
    </w:p>
    <w:p w14:paraId="18FF4159" w14:textId="77777777" w:rsidR="00BB189A" w:rsidRPr="00F51B22" w:rsidRDefault="00BB189A" w:rsidP="008B1631">
      <w:pPr>
        <w:shd w:val="clear" w:color="auto" w:fill="FFFFFF"/>
        <w:spacing w:before="120" w:after="0" w:line="276" w:lineRule="auto"/>
        <w:ind w:firstLine="567"/>
        <w:jc w:val="both"/>
        <w:rPr>
          <w:color w:val="000000"/>
          <w:sz w:val="28"/>
          <w:szCs w:val="28"/>
        </w:rPr>
      </w:pPr>
      <w:r w:rsidRPr="00F51B22">
        <w:rPr>
          <w:color w:val="000000"/>
          <w:sz w:val="28"/>
          <w:szCs w:val="28"/>
          <w:lang w:val="vi-VN"/>
        </w:rPr>
        <w:t>- Chi chụp ảnh chụp di tích và di vật: 25.000 đồng/ảnh (bao gồm công chụp, chỉnh sửa và chi phí làm ảnh cỡ 9x12).</w:t>
      </w:r>
    </w:p>
    <w:p w14:paraId="137AC109" w14:textId="77777777" w:rsidR="00BB189A" w:rsidRPr="00F51B22" w:rsidRDefault="00BB189A" w:rsidP="008B1631">
      <w:pPr>
        <w:shd w:val="clear" w:color="auto" w:fill="FFFFFF"/>
        <w:spacing w:before="120" w:after="0" w:line="276" w:lineRule="auto"/>
        <w:ind w:firstLine="567"/>
        <w:jc w:val="both"/>
        <w:rPr>
          <w:color w:val="000000"/>
          <w:sz w:val="28"/>
          <w:szCs w:val="28"/>
        </w:rPr>
      </w:pPr>
      <w:r w:rsidRPr="00F51B22">
        <w:rPr>
          <w:color w:val="000000"/>
          <w:sz w:val="28"/>
          <w:szCs w:val="28"/>
          <w:lang w:val="vi-VN"/>
        </w:rPr>
        <w:t>- Phiếu đăng ký hiện vật (mô tả đặc trưng, niên đại, nguồn gốc và tính chất hiện vật): 30.000 đồng/phiếu.</w:t>
      </w:r>
    </w:p>
    <w:p w14:paraId="674C379B" w14:textId="77777777" w:rsidR="00BB189A" w:rsidRPr="00F51B22" w:rsidRDefault="00BB189A" w:rsidP="008B1631">
      <w:pPr>
        <w:shd w:val="clear" w:color="auto" w:fill="FFFFFF"/>
        <w:spacing w:before="120" w:after="0" w:line="276" w:lineRule="auto"/>
        <w:ind w:firstLine="567"/>
        <w:jc w:val="both"/>
        <w:rPr>
          <w:color w:val="000000"/>
          <w:sz w:val="28"/>
          <w:szCs w:val="28"/>
        </w:rPr>
      </w:pPr>
      <w:r w:rsidRPr="00F51B22">
        <w:rPr>
          <w:color w:val="000000"/>
          <w:sz w:val="28"/>
          <w:szCs w:val="28"/>
          <w:lang w:val="vi-VN"/>
        </w:rPr>
        <w:t>- Mức chi đo vẽ di tích, di vật (mặt bằng tổng thể khu di tích, mặt bằng hiện trạng di tích, mặt cắt địa tầng, chi tiết các dấu vết kiến trúc..., hình dáng, hoa văn của các loại di vật...): Chi theo hợp đồng thỏa thuận trên cơ sở ngày công lao động và mức chi bồi dưỡng đối với cán bộ quy định tại điểm a khoản 1 Điều 1 của Nghị quyết này.</w:t>
      </w:r>
    </w:p>
    <w:p w14:paraId="71FE1E21" w14:textId="5AEF9072" w:rsidR="00BB189A" w:rsidRPr="004D6516" w:rsidRDefault="00BB189A" w:rsidP="008B1631">
      <w:pPr>
        <w:shd w:val="clear" w:color="auto" w:fill="FFFFFF"/>
        <w:spacing w:before="120" w:after="0" w:line="276" w:lineRule="auto"/>
        <w:ind w:firstLine="567"/>
        <w:jc w:val="both"/>
        <w:rPr>
          <w:color w:val="000000"/>
          <w:sz w:val="28"/>
          <w:szCs w:val="28"/>
        </w:rPr>
      </w:pPr>
      <w:r w:rsidRPr="004D6516">
        <w:rPr>
          <w:color w:val="000000"/>
          <w:sz w:val="28"/>
          <w:szCs w:val="28"/>
          <w:lang w:val="vi-VN"/>
        </w:rPr>
        <w:t>2. Việc sử dụng kinh phí thực hiện công tác thăm dò, khai quật khảo cổ từ nguồn ngân sách địa phương</w:t>
      </w:r>
      <w:r w:rsidR="004D6516">
        <w:rPr>
          <w:color w:val="000000"/>
          <w:sz w:val="28"/>
          <w:szCs w:val="28"/>
        </w:rPr>
        <w:t>:</w:t>
      </w:r>
    </w:p>
    <w:p w14:paraId="3CD6DC9D" w14:textId="5B807C9F" w:rsidR="00BB189A" w:rsidRPr="00F51B22" w:rsidRDefault="00BB189A" w:rsidP="008B1631">
      <w:pPr>
        <w:shd w:val="clear" w:color="auto" w:fill="FFFFFF"/>
        <w:spacing w:before="120" w:after="0" w:line="276" w:lineRule="auto"/>
        <w:ind w:firstLine="567"/>
        <w:jc w:val="both"/>
        <w:rPr>
          <w:color w:val="000000"/>
          <w:sz w:val="28"/>
          <w:szCs w:val="28"/>
        </w:rPr>
      </w:pPr>
      <w:r w:rsidRPr="00F51B22">
        <w:rPr>
          <w:color w:val="000000"/>
          <w:sz w:val="28"/>
          <w:szCs w:val="28"/>
          <w:lang w:val="vi-VN"/>
        </w:rPr>
        <w:lastRenderedPageBreak/>
        <w:t xml:space="preserve">a) Đối với công tác thăm dò, khai quật khảo cổ mang tính thường xuyên, </w:t>
      </w:r>
      <w:r w:rsidR="004A05AD">
        <w:rPr>
          <w:color w:val="000000"/>
          <w:sz w:val="28"/>
          <w:szCs w:val="28"/>
        </w:rPr>
        <w:t>k</w:t>
      </w:r>
      <w:r w:rsidRPr="00F51B22">
        <w:rPr>
          <w:color w:val="000000"/>
          <w:sz w:val="28"/>
          <w:szCs w:val="28"/>
          <w:lang w:val="vi-VN"/>
        </w:rPr>
        <w:t>inh phí thực hiện</w:t>
      </w:r>
      <w:r w:rsidR="004A05AD">
        <w:rPr>
          <w:color w:val="000000"/>
          <w:sz w:val="28"/>
          <w:szCs w:val="28"/>
        </w:rPr>
        <w:t xml:space="preserve"> t</w:t>
      </w:r>
      <w:r w:rsidRPr="00F51B22">
        <w:rPr>
          <w:color w:val="000000"/>
          <w:sz w:val="28"/>
          <w:szCs w:val="28"/>
          <w:lang w:val="vi-VN"/>
        </w:rPr>
        <w:t xml:space="preserve">ừ nguồn ngân sách địa phương trong dự toán kinh phí sự nghiệp văn hóa giao hàng năm theo phân cấp ngân sách nhà nước hiện hành. Đối với các dự án thăm dò, khai quật khảo cổ có </w:t>
      </w:r>
      <w:r w:rsidR="00F540F0">
        <w:rPr>
          <w:color w:val="000000"/>
          <w:sz w:val="28"/>
          <w:szCs w:val="28"/>
        </w:rPr>
        <w:t>tính chất đặc thù</w:t>
      </w:r>
      <w:r w:rsidRPr="00F51B22">
        <w:rPr>
          <w:color w:val="000000"/>
          <w:sz w:val="28"/>
          <w:szCs w:val="28"/>
          <w:lang w:val="vi-VN"/>
        </w:rPr>
        <w:t>, nguồn kinh phí thực hiện</w:t>
      </w:r>
      <w:r w:rsidR="004A05AD">
        <w:rPr>
          <w:color w:val="000000"/>
          <w:sz w:val="28"/>
          <w:szCs w:val="28"/>
        </w:rPr>
        <w:t xml:space="preserve"> t</w:t>
      </w:r>
      <w:r w:rsidRPr="00F51B22">
        <w:rPr>
          <w:color w:val="000000"/>
          <w:sz w:val="28"/>
          <w:szCs w:val="28"/>
          <w:lang w:val="vi-VN"/>
        </w:rPr>
        <w:t xml:space="preserve">heo quyết định của cấp có thẩm quyền, cơ quan, đơn vị chủ trì dự án thăm dò, khai quật </w:t>
      </w:r>
      <w:r w:rsidR="00344C7E">
        <w:rPr>
          <w:color w:val="000000"/>
          <w:sz w:val="28"/>
          <w:szCs w:val="28"/>
        </w:rPr>
        <w:t xml:space="preserve">khảo cổ </w:t>
      </w:r>
      <w:r w:rsidRPr="00F51B22">
        <w:rPr>
          <w:color w:val="000000"/>
          <w:sz w:val="28"/>
          <w:szCs w:val="28"/>
          <w:lang w:val="vi-VN"/>
        </w:rPr>
        <w:t>xây dựng dự toán, trình cấp có thẩm quyền phê duyệt theo quy định về phân cấp ngân sách nhà nước hiện hành.</w:t>
      </w:r>
    </w:p>
    <w:p w14:paraId="19DA39FF" w14:textId="77777777" w:rsidR="00BB189A" w:rsidRPr="00F51B22" w:rsidRDefault="00BB189A" w:rsidP="008B1631">
      <w:pPr>
        <w:shd w:val="clear" w:color="auto" w:fill="FFFFFF"/>
        <w:spacing w:before="120" w:after="0" w:line="276" w:lineRule="auto"/>
        <w:ind w:firstLine="567"/>
        <w:jc w:val="both"/>
        <w:rPr>
          <w:color w:val="000000"/>
          <w:sz w:val="28"/>
          <w:szCs w:val="28"/>
        </w:rPr>
      </w:pPr>
      <w:r w:rsidRPr="00F51B22">
        <w:rPr>
          <w:color w:val="000000"/>
          <w:sz w:val="28"/>
          <w:szCs w:val="28"/>
          <w:lang w:val="vi-VN"/>
        </w:rPr>
        <w:t>b) Cơ quan, đơn vị có chức năng được giao nhiệm vụ thăm dò, khai quật khảo cổ có trách nhiệm xây dựng dự toán chi theo nội dung và định mức quy định tại Nghị quyết này trình cấp có thẩm quyền phê duyệt theo phân cấp quản lý ngân sách nhà nước hiện hành.</w:t>
      </w:r>
    </w:p>
    <w:p w14:paraId="63EF9FA3" w14:textId="77777777" w:rsidR="00BB189A" w:rsidRPr="00F51B22" w:rsidRDefault="00BB189A" w:rsidP="008B1631">
      <w:pPr>
        <w:shd w:val="clear" w:color="auto" w:fill="FFFFFF"/>
        <w:spacing w:before="120" w:after="0" w:line="276" w:lineRule="auto"/>
        <w:ind w:firstLine="567"/>
        <w:jc w:val="both"/>
        <w:rPr>
          <w:color w:val="000000"/>
          <w:sz w:val="28"/>
          <w:szCs w:val="28"/>
        </w:rPr>
      </w:pPr>
      <w:r w:rsidRPr="00F51B22">
        <w:rPr>
          <w:color w:val="000000"/>
          <w:sz w:val="28"/>
          <w:szCs w:val="28"/>
          <w:lang w:val="vi-VN"/>
        </w:rPr>
        <w:t>c) Khuyến khích cơ quan, đơn vị được giao nhiệm vụ thực hiện công tác thăm dò, khai quật khảo cổ huy động nguồn vốn xã hội hóa và các nguồn vốn hợp pháp khác từ các cơ quan, đơn vị, tổ chức và cá nhân để thực hiện công tác thăm dò, khai quật khảo cổ trên địa bàn tỉnh.</w:t>
      </w:r>
    </w:p>
    <w:p w14:paraId="2AC2E91E" w14:textId="77777777" w:rsidR="000834DC" w:rsidRDefault="000834DC" w:rsidP="008B1631">
      <w:pPr>
        <w:shd w:val="clear" w:color="auto" w:fill="FFFFFF"/>
        <w:spacing w:before="120" w:after="0" w:line="276" w:lineRule="auto"/>
        <w:ind w:firstLine="567"/>
        <w:jc w:val="both"/>
        <w:rPr>
          <w:color w:val="000000"/>
          <w:sz w:val="28"/>
          <w:szCs w:val="28"/>
        </w:rPr>
      </w:pPr>
      <w:r w:rsidRPr="000834DC">
        <w:rPr>
          <w:color w:val="000000"/>
          <w:sz w:val="28"/>
          <w:szCs w:val="28"/>
          <w:lang w:val="vi-VN"/>
        </w:rPr>
        <w:t xml:space="preserve">3. Chi hội thảo phục vụ công tác thăm dò, khai quật khảo cổ; hội thảo báo cáo kết quả thăm dò, khai quật khảo cổ và kết quả nghiên cứu, chỉnh lý di tích, di vật: Mức chi theo quy định chế độ công tác phí, chi tổ chức hội nghị trên địa bàn tỉnh Gia Lai theo Nghị quyết số 01/2025/NQ-HĐND ngày 22 tháng 7 năm 2025 của Hội đồng nhân dân tỉnh Gia Lai. </w:t>
      </w:r>
    </w:p>
    <w:p w14:paraId="71A80D63" w14:textId="3D164E47" w:rsidR="00DD38D6" w:rsidRPr="00DD38D6" w:rsidRDefault="00DD38D6" w:rsidP="008B1631">
      <w:pPr>
        <w:shd w:val="clear" w:color="auto" w:fill="FFFFFF"/>
        <w:spacing w:before="120" w:after="0" w:line="276" w:lineRule="auto"/>
        <w:ind w:firstLine="567"/>
        <w:jc w:val="both"/>
        <w:rPr>
          <w:color w:val="000000"/>
          <w:sz w:val="28"/>
          <w:szCs w:val="28"/>
        </w:rPr>
      </w:pPr>
      <w:r>
        <w:rPr>
          <w:color w:val="000000"/>
          <w:sz w:val="28"/>
          <w:szCs w:val="28"/>
        </w:rPr>
        <w:t>Đối với c</w:t>
      </w:r>
      <w:r w:rsidRPr="004D6516">
        <w:rPr>
          <w:color w:val="000000"/>
          <w:sz w:val="28"/>
          <w:szCs w:val="28"/>
          <w:lang w:val="vi-VN"/>
        </w:rPr>
        <w:t xml:space="preserve">ông tác thăm dò, khai quật khảo cổ </w:t>
      </w:r>
      <w:r>
        <w:rPr>
          <w:color w:val="000000"/>
          <w:sz w:val="28"/>
          <w:szCs w:val="28"/>
        </w:rPr>
        <w:t>có sự tham gia của chuyên gia tư vấn khoa học người nước ngoài: Mức c</w:t>
      </w:r>
      <w:r w:rsidR="00F540F0">
        <w:rPr>
          <w:color w:val="000000"/>
          <w:sz w:val="28"/>
          <w:szCs w:val="28"/>
        </w:rPr>
        <w:t xml:space="preserve">hi chế độ </w:t>
      </w:r>
      <w:r>
        <w:rPr>
          <w:color w:val="000000"/>
          <w:sz w:val="28"/>
          <w:szCs w:val="28"/>
        </w:rPr>
        <w:t>tiếp khách, chế độ hội thảo</w:t>
      </w:r>
      <w:r w:rsidRPr="00DD38D6">
        <w:rPr>
          <w:color w:val="000000"/>
          <w:sz w:val="28"/>
          <w:szCs w:val="28"/>
          <w:lang w:val="vi-VN"/>
        </w:rPr>
        <w:t xml:space="preserve"> </w:t>
      </w:r>
      <w:r w:rsidRPr="000834DC">
        <w:rPr>
          <w:color w:val="000000"/>
          <w:sz w:val="28"/>
          <w:szCs w:val="28"/>
          <w:lang w:val="vi-VN"/>
        </w:rPr>
        <w:t>phục vụ công tác thăm dò, khai quật khảo cổ; hội thảo báo cáo kết quả thăm dò, khai quật khảo cổ và kết quả nghiên cứu, chỉnh lý di tích, di vật</w:t>
      </w:r>
      <w:r>
        <w:rPr>
          <w:color w:val="000000"/>
          <w:sz w:val="28"/>
          <w:szCs w:val="28"/>
        </w:rPr>
        <w:t xml:space="preserve"> cho các chuyên gia người nước ngoài theo quy định Thông tư số 71/2018/TT-BTC ngày 10 tháng 8 năm 2018 của Bộ trưởng Bộ Tài chính q</w:t>
      </w:r>
      <w:r w:rsidRPr="00DD38D6">
        <w:rPr>
          <w:color w:val="000000"/>
          <w:sz w:val="28"/>
          <w:szCs w:val="28"/>
        </w:rPr>
        <w:t>uy định chế độ tiếp khách nước ngoài vào làm việc tại Việt Nam, chế độ chi tổ chức hội nghị, hội thảo quốc tế tại Việt Nam và chế độ tiếp khách trong nước</w:t>
      </w:r>
      <w:r>
        <w:rPr>
          <w:color w:val="000000"/>
          <w:sz w:val="28"/>
          <w:szCs w:val="28"/>
        </w:rPr>
        <w:t>.</w:t>
      </w:r>
    </w:p>
    <w:p w14:paraId="024AECCA" w14:textId="175FB3D9" w:rsidR="000834DC" w:rsidRPr="000834DC" w:rsidRDefault="000834DC" w:rsidP="008B1631">
      <w:pPr>
        <w:shd w:val="clear" w:color="auto" w:fill="FFFFFF"/>
        <w:spacing w:before="120" w:after="0" w:line="276" w:lineRule="auto"/>
        <w:ind w:firstLine="567"/>
        <w:jc w:val="both"/>
        <w:rPr>
          <w:color w:val="000000"/>
          <w:sz w:val="28"/>
          <w:szCs w:val="28"/>
          <w:lang w:val="vi-VN"/>
        </w:rPr>
      </w:pPr>
      <w:r w:rsidRPr="000834DC">
        <w:rPr>
          <w:color w:val="000000"/>
          <w:sz w:val="28"/>
          <w:szCs w:val="28"/>
          <w:lang w:val="vi-VN"/>
        </w:rPr>
        <w:t xml:space="preserve">4. Những nội dung không quy định tại Nghị quyết này thì áp dụng theo quy định tại Thông tư số 67/2019/TT-BTC ngày 23 tháng 9 năm 2019 của </w:t>
      </w:r>
      <w:r w:rsidR="00DD38D6">
        <w:rPr>
          <w:color w:val="000000"/>
          <w:sz w:val="28"/>
          <w:szCs w:val="28"/>
        </w:rPr>
        <w:t xml:space="preserve">Bộ trưởng </w:t>
      </w:r>
      <w:r w:rsidRPr="000834DC">
        <w:rPr>
          <w:color w:val="000000"/>
          <w:sz w:val="28"/>
          <w:szCs w:val="28"/>
          <w:lang w:val="vi-VN"/>
        </w:rPr>
        <w:t>Bộ Tài chính Quy định nội dung và mức chi thực hiện công tác thăm dò, khai quật khảo cổ từ nguồn ngân sách nhà nước và các văn bản pháp luật khác có liên quan. Khi các văn bản quy phạm pháp luật dẫn chiếu để áp dụng tại Nghị quyết này được sửa đổi, bổ sung hoặc thay thế thì áp dụng theo các văn bản sửa đổi, bổ sung hoặc thay thế đó.</w:t>
      </w:r>
    </w:p>
    <w:p w14:paraId="73D413A7" w14:textId="00F9085E" w:rsidR="00563530" w:rsidRPr="00B47E01" w:rsidRDefault="00BB189A" w:rsidP="008B1631">
      <w:pPr>
        <w:shd w:val="clear" w:color="auto" w:fill="FFFFFF"/>
        <w:spacing w:before="120" w:after="0" w:line="276" w:lineRule="auto"/>
        <w:ind w:firstLine="567"/>
        <w:jc w:val="both"/>
        <w:rPr>
          <w:sz w:val="28"/>
          <w:szCs w:val="28"/>
        </w:rPr>
      </w:pPr>
      <w:r w:rsidRPr="00F51B22">
        <w:rPr>
          <w:b/>
          <w:bCs/>
          <w:color w:val="000000"/>
          <w:sz w:val="28"/>
          <w:szCs w:val="28"/>
          <w:lang w:val="vi-VN"/>
        </w:rPr>
        <w:t>Điều 2</w:t>
      </w:r>
      <w:r w:rsidRPr="00F51B22">
        <w:rPr>
          <w:color w:val="000000"/>
          <w:sz w:val="28"/>
          <w:szCs w:val="28"/>
          <w:lang w:val="vi-VN"/>
        </w:rPr>
        <w:t xml:space="preserve">. </w:t>
      </w:r>
      <w:r w:rsidR="00854A13" w:rsidRPr="003740A4">
        <w:rPr>
          <w:color w:val="000000"/>
          <w:sz w:val="28"/>
          <w:szCs w:val="28"/>
          <w:shd w:val="clear" w:color="auto" w:fill="FFFFFF"/>
          <w:lang w:val="vi-VN"/>
        </w:rPr>
        <w:t>Ủy ban nhân dân tỉnh có trách nhiệm tổ chức triển khai thực hiện Nghị quyết.</w:t>
      </w:r>
    </w:p>
    <w:p w14:paraId="725D3163" w14:textId="1C8C8336" w:rsidR="006D1CE1" w:rsidRPr="00B47E01" w:rsidRDefault="004973C4" w:rsidP="008B1631">
      <w:pPr>
        <w:spacing w:before="120" w:after="0" w:line="276" w:lineRule="auto"/>
        <w:ind w:right="3" w:firstLine="567"/>
        <w:jc w:val="both"/>
        <w:rPr>
          <w:sz w:val="28"/>
          <w:szCs w:val="28"/>
        </w:rPr>
      </w:pPr>
      <w:r w:rsidRPr="00B47E01">
        <w:rPr>
          <w:b/>
          <w:sz w:val="28"/>
          <w:szCs w:val="28"/>
        </w:rPr>
        <w:lastRenderedPageBreak/>
        <w:t xml:space="preserve">Điều 3. </w:t>
      </w:r>
      <w:r w:rsidR="00A9711B" w:rsidRPr="00B47E01">
        <w:rPr>
          <w:sz w:val="28"/>
          <w:szCs w:val="28"/>
        </w:rPr>
        <w:t>Nghị quyết</w:t>
      </w:r>
      <w:r w:rsidR="00843A33" w:rsidRPr="00B47E01">
        <w:rPr>
          <w:sz w:val="28"/>
          <w:szCs w:val="28"/>
        </w:rPr>
        <w:t xml:space="preserve"> này có hiệu lực thi hành kể từ ngày ký</w:t>
      </w:r>
      <w:r w:rsidR="004D6516">
        <w:rPr>
          <w:sz w:val="28"/>
          <w:szCs w:val="28"/>
        </w:rPr>
        <w:t>.</w:t>
      </w:r>
    </w:p>
    <w:p w14:paraId="08060971" w14:textId="45C59EDB" w:rsidR="00F61232" w:rsidRPr="00B47E01" w:rsidRDefault="00563530" w:rsidP="008B1631">
      <w:pPr>
        <w:spacing w:before="120" w:after="0" w:line="276" w:lineRule="auto"/>
        <w:ind w:right="3" w:firstLine="567"/>
        <w:jc w:val="both"/>
        <w:rPr>
          <w:sz w:val="28"/>
          <w:szCs w:val="28"/>
        </w:rPr>
      </w:pPr>
      <w:r w:rsidRPr="00B47E01">
        <w:rPr>
          <w:sz w:val="28"/>
          <w:szCs w:val="28"/>
        </w:rPr>
        <w:t xml:space="preserve">Nghị quyết số </w:t>
      </w:r>
      <w:r w:rsidR="004D6516">
        <w:rPr>
          <w:sz w:val="28"/>
          <w:szCs w:val="28"/>
        </w:rPr>
        <w:t>15/2020</w:t>
      </w:r>
      <w:r w:rsidRPr="00B47E01">
        <w:rPr>
          <w:sz w:val="28"/>
          <w:szCs w:val="28"/>
        </w:rPr>
        <w:t>/NQ-HĐND ngày 1</w:t>
      </w:r>
      <w:r w:rsidR="004D6516">
        <w:rPr>
          <w:sz w:val="28"/>
          <w:szCs w:val="28"/>
        </w:rPr>
        <w:t>7</w:t>
      </w:r>
      <w:r w:rsidRPr="00B47E01">
        <w:rPr>
          <w:sz w:val="28"/>
          <w:szCs w:val="28"/>
        </w:rPr>
        <w:t xml:space="preserve"> tháng </w:t>
      </w:r>
      <w:r w:rsidR="004D6516">
        <w:rPr>
          <w:sz w:val="28"/>
          <w:szCs w:val="28"/>
        </w:rPr>
        <w:t>7</w:t>
      </w:r>
      <w:r w:rsidRPr="00B47E01">
        <w:rPr>
          <w:sz w:val="28"/>
          <w:szCs w:val="28"/>
        </w:rPr>
        <w:t xml:space="preserve"> năm 202</w:t>
      </w:r>
      <w:r w:rsidR="004D6516">
        <w:rPr>
          <w:sz w:val="28"/>
          <w:szCs w:val="28"/>
        </w:rPr>
        <w:t>0</w:t>
      </w:r>
      <w:r w:rsidRPr="00B47E01">
        <w:rPr>
          <w:sz w:val="28"/>
          <w:szCs w:val="28"/>
        </w:rPr>
        <w:t xml:space="preserve"> của Hội đồng nhân dân tỉnh </w:t>
      </w:r>
      <w:r w:rsidR="004D6516">
        <w:rPr>
          <w:sz w:val="28"/>
          <w:szCs w:val="28"/>
        </w:rPr>
        <w:t>Bình Định</w:t>
      </w:r>
      <w:r w:rsidRPr="00B47E01">
        <w:rPr>
          <w:sz w:val="28"/>
          <w:szCs w:val="28"/>
        </w:rPr>
        <w:t xml:space="preserve"> </w:t>
      </w:r>
      <w:r w:rsidR="004D6516" w:rsidRPr="00B47E01">
        <w:rPr>
          <w:sz w:val="28"/>
          <w:szCs w:val="28"/>
        </w:rPr>
        <w:t xml:space="preserve">Quy </w:t>
      </w:r>
      <w:r w:rsidRPr="00B47E01">
        <w:rPr>
          <w:sz w:val="28"/>
          <w:szCs w:val="28"/>
        </w:rPr>
        <w:t xml:space="preserve">định mức chi </w:t>
      </w:r>
      <w:r w:rsidR="004D6516" w:rsidRPr="00F51B22">
        <w:rPr>
          <w:color w:val="000000"/>
          <w:sz w:val="28"/>
          <w:szCs w:val="28"/>
          <w:lang w:val="pt-BR"/>
        </w:rPr>
        <w:t>và việc sử dụng kinh phí thực hiện công tác thăm dò, khai quật khảo cổ từ nguồn ngân sách nhà nước trên địa bàn tỉnh Bình Định</w:t>
      </w:r>
      <w:r w:rsidR="004D6516" w:rsidRPr="00B47E01">
        <w:rPr>
          <w:sz w:val="28"/>
          <w:szCs w:val="28"/>
        </w:rPr>
        <w:t xml:space="preserve"> </w:t>
      </w:r>
      <w:r w:rsidR="006D1CE1" w:rsidRPr="00B47E01">
        <w:rPr>
          <w:sz w:val="28"/>
          <w:szCs w:val="28"/>
        </w:rPr>
        <w:t xml:space="preserve">hết hiệu lực kể từ ngày </w:t>
      </w:r>
      <w:r w:rsidRPr="00B47E01">
        <w:rPr>
          <w:sz w:val="28"/>
          <w:szCs w:val="28"/>
        </w:rPr>
        <w:t>Nghị quyết</w:t>
      </w:r>
      <w:r w:rsidR="006D1CE1" w:rsidRPr="00B47E01">
        <w:rPr>
          <w:sz w:val="28"/>
          <w:szCs w:val="28"/>
        </w:rPr>
        <w:t xml:space="preserve"> này </w:t>
      </w:r>
      <w:r w:rsidRPr="00B47E01">
        <w:rPr>
          <w:sz w:val="28"/>
          <w:szCs w:val="28"/>
        </w:rPr>
        <w:t>có hiệu lực thi</w:t>
      </w:r>
      <w:r w:rsidR="006D1CE1" w:rsidRPr="00B47E01">
        <w:rPr>
          <w:sz w:val="28"/>
          <w:szCs w:val="28"/>
        </w:rPr>
        <w:t xml:space="preserve"> hành</w:t>
      </w:r>
      <w:r w:rsidR="00843A33" w:rsidRPr="00B47E01">
        <w:rPr>
          <w:sz w:val="28"/>
          <w:szCs w:val="28"/>
        </w:rPr>
        <w:t>.</w:t>
      </w:r>
    </w:p>
    <w:p w14:paraId="6AA4DF35" w14:textId="2518E4A6" w:rsidR="00F61232" w:rsidRPr="00F61232" w:rsidRDefault="00F61232" w:rsidP="008B1631">
      <w:pPr>
        <w:shd w:val="clear" w:color="auto" w:fill="FFFFFF"/>
        <w:spacing w:before="120" w:after="0" w:line="276" w:lineRule="auto"/>
        <w:ind w:firstLine="567"/>
        <w:jc w:val="both"/>
        <w:rPr>
          <w:i/>
          <w:iCs/>
          <w:color w:val="000000"/>
          <w:sz w:val="28"/>
          <w:szCs w:val="28"/>
        </w:rPr>
      </w:pPr>
      <w:r w:rsidRPr="00B47E01">
        <w:rPr>
          <w:i/>
          <w:iCs/>
          <w:color w:val="000000"/>
          <w:sz w:val="28"/>
          <w:szCs w:val="28"/>
        </w:rPr>
        <w:t>Nghị quyết này đã được Hội đồng nhân dân tỉnh Gia Lai khóa …, Kỳ họp thứ … thông qua ngày</w:t>
      </w:r>
      <w:r w:rsidRPr="00F61232">
        <w:rPr>
          <w:i/>
          <w:iCs/>
          <w:color w:val="000000"/>
          <w:sz w:val="28"/>
          <w:szCs w:val="28"/>
        </w:rPr>
        <w:t xml:space="preserve"> </w:t>
      </w:r>
      <w:r>
        <w:rPr>
          <w:i/>
          <w:iCs/>
          <w:color w:val="000000"/>
          <w:sz w:val="28"/>
          <w:szCs w:val="28"/>
        </w:rPr>
        <w:t>…</w:t>
      </w:r>
      <w:r w:rsidRPr="00F61232">
        <w:rPr>
          <w:i/>
          <w:iCs/>
          <w:color w:val="000000"/>
          <w:sz w:val="28"/>
          <w:szCs w:val="28"/>
        </w:rPr>
        <w:t xml:space="preserve"> tháng </w:t>
      </w:r>
      <w:r>
        <w:rPr>
          <w:i/>
          <w:iCs/>
          <w:color w:val="000000"/>
          <w:sz w:val="28"/>
          <w:szCs w:val="28"/>
        </w:rPr>
        <w:t>…</w:t>
      </w:r>
      <w:r w:rsidRPr="00F61232">
        <w:rPr>
          <w:i/>
          <w:iCs/>
          <w:color w:val="000000"/>
          <w:sz w:val="28"/>
          <w:szCs w:val="28"/>
        </w:rPr>
        <w:t xml:space="preserve"> năm 202</w:t>
      </w:r>
      <w:r>
        <w:rPr>
          <w:i/>
          <w:iCs/>
          <w:color w:val="000000"/>
          <w:sz w:val="28"/>
          <w:szCs w:val="28"/>
        </w:rPr>
        <w:t>6</w:t>
      </w:r>
      <w:r w:rsidRPr="00F61232">
        <w:rPr>
          <w:i/>
          <w:iCs/>
          <w:color w:val="000000"/>
          <w:sz w:val="28"/>
          <w:szCs w:val="28"/>
        </w:rPr>
        <w:t>.</w:t>
      </w:r>
    </w:p>
    <w:p w14:paraId="6CDFCFE5" w14:textId="77777777" w:rsidR="00843A33" w:rsidRPr="004D6516" w:rsidRDefault="00843A33" w:rsidP="00843A33">
      <w:pPr>
        <w:pStyle w:val="BodyText"/>
        <w:spacing w:before="0" w:line="240" w:lineRule="auto"/>
        <w:ind w:left="0" w:firstLine="709"/>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4438"/>
        <w:gridCol w:w="4681"/>
      </w:tblGrid>
      <w:tr w:rsidR="00843A33" w14:paraId="42B06B6A" w14:textId="77777777" w:rsidTr="00644004">
        <w:trPr>
          <w:trHeight w:val="3051"/>
        </w:trPr>
        <w:tc>
          <w:tcPr>
            <w:tcW w:w="4438" w:type="dxa"/>
          </w:tcPr>
          <w:p w14:paraId="61378225" w14:textId="77777777" w:rsidR="00843A33" w:rsidRDefault="00843A33" w:rsidP="00644004">
            <w:pPr>
              <w:pStyle w:val="TableParagraph"/>
              <w:tabs>
                <w:tab w:val="left" w:pos="225"/>
              </w:tabs>
              <w:spacing w:after="0" w:line="240" w:lineRule="auto"/>
              <w:ind w:left="40"/>
              <w:jc w:val="both"/>
              <w:rPr>
                <w:b/>
                <w:i/>
                <w:sz w:val="24"/>
                <w:szCs w:val="24"/>
              </w:rPr>
            </w:pPr>
            <w:r>
              <w:rPr>
                <w:b/>
                <w:i/>
                <w:sz w:val="24"/>
                <w:szCs w:val="24"/>
              </w:rPr>
              <w:t xml:space="preserve">Nơi </w:t>
            </w:r>
            <w:r>
              <w:rPr>
                <w:b/>
                <w:i/>
                <w:spacing w:val="-2"/>
                <w:sz w:val="24"/>
                <w:szCs w:val="24"/>
              </w:rPr>
              <w:t>nhận:</w:t>
            </w:r>
          </w:p>
          <w:p w14:paraId="0D0AC107" w14:textId="77777777" w:rsidR="00F61232" w:rsidRPr="000D7B09" w:rsidRDefault="00F61232" w:rsidP="00F61232">
            <w:pPr>
              <w:pStyle w:val="TableParagraph"/>
              <w:tabs>
                <w:tab w:val="left" w:pos="225"/>
              </w:tabs>
              <w:spacing w:after="0" w:line="240" w:lineRule="auto"/>
              <w:ind w:left="40"/>
              <w:jc w:val="both"/>
              <w:rPr>
                <w:sz w:val="18"/>
                <w:szCs w:val="18"/>
              </w:rPr>
            </w:pPr>
            <w:r w:rsidRPr="000D7B09">
              <w:rPr>
                <w:sz w:val="18"/>
                <w:szCs w:val="18"/>
              </w:rPr>
              <w:t xml:space="preserve">- Ủy ban Thường vụ Quốc hội; </w:t>
            </w:r>
          </w:p>
          <w:p w14:paraId="26A8D86C" w14:textId="77777777" w:rsidR="00F61232" w:rsidRPr="000D7B09" w:rsidRDefault="00F61232" w:rsidP="00F61232">
            <w:pPr>
              <w:pStyle w:val="TableParagraph"/>
              <w:spacing w:after="0" w:line="240" w:lineRule="auto"/>
              <w:ind w:left="40"/>
              <w:jc w:val="both"/>
              <w:rPr>
                <w:sz w:val="18"/>
                <w:szCs w:val="18"/>
              </w:rPr>
            </w:pPr>
            <w:r w:rsidRPr="000D7B09">
              <w:rPr>
                <w:sz w:val="18"/>
                <w:szCs w:val="18"/>
              </w:rPr>
              <w:t xml:space="preserve">- Chính phủ; </w:t>
            </w:r>
          </w:p>
          <w:p w14:paraId="69CE37AE" w14:textId="77777777" w:rsidR="00F61232" w:rsidRPr="000D7B09" w:rsidRDefault="00F61232" w:rsidP="00F61232">
            <w:pPr>
              <w:pStyle w:val="TableParagraph"/>
              <w:spacing w:after="0" w:line="240" w:lineRule="auto"/>
              <w:ind w:left="40"/>
              <w:jc w:val="both"/>
              <w:rPr>
                <w:sz w:val="18"/>
                <w:szCs w:val="18"/>
              </w:rPr>
            </w:pPr>
            <w:r w:rsidRPr="000D7B09">
              <w:rPr>
                <w:sz w:val="18"/>
                <w:szCs w:val="18"/>
              </w:rPr>
              <w:t xml:space="preserve">- Bộ Tài chính; </w:t>
            </w:r>
          </w:p>
          <w:p w14:paraId="1F5A0D8B" w14:textId="77777777" w:rsidR="00F61232" w:rsidRPr="000D7B09" w:rsidRDefault="00F61232" w:rsidP="00F61232">
            <w:pPr>
              <w:pStyle w:val="TableParagraph"/>
              <w:spacing w:after="0" w:line="240" w:lineRule="auto"/>
              <w:ind w:left="40"/>
              <w:jc w:val="both"/>
              <w:rPr>
                <w:sz w:val="18"/>
                <w:szCs w:val="18"/>
              </w:rPr>
            </w:pPr>
            <w:r w:rsidRPr="000D7B09">
              <w:rPr>
                <w:sz w:val="18"/>
                <w:szCs w:val="18"/>
              </w:rPr>
              <w:t xml:space="preserve">- Bộ Văn hóa, Thể thao và Du lịch; </w:t>
            </w:r>
          </w:p>
          <w:p w14:paraId="1C4EC9B1" w14:textId="6C4C11F2" w:rsidR="00F61232" w:rsidRPr="000D7B09" w:rsidRDefault="00F61232" w:rsidP="00F61232">
            <w:pPr>
              <w:pStyle w:val="TableParagraph"/>
              <w:spacing w:after="0" w:line="240" w:lineRule="auto"/>
              <w:ind w:left="40"/>
              <w:jc w:val="both"/>
              <w:rPr>
                <w:sz w:val="18"/>
                <w:szCs w:val="18"/>
              </w:rPr>
            </w:pPr>
            <w:r w:rsidRPr="000D7B09">
              <w:rPr>
                <w:sz w:val="18"/>
                <w:szCs w:val="18"/>
              </w:rPr>
              <w:t xml:space="preserve">- Cục Kiểm tra văn bản và Quản lý </w:t>
            </w:r>
          </w:p>
          <w:p w14:paraId="159C5F00" w14:textId="77777777" w:rsidR="00F61232" w:rsidRPr="000D7B09" w:rsidRDefault="00F61232" w:rsidP="00F61232">
            <w:pPr>
              <w:pStyle w:val="TableParagraph"/>
              <w:spacing w:after="0" w:line="240" w:lineRule="auto"/>
              <w:ind w:left="40"/>
              <w:jc w:val="both"/>
              <w:rPr>
                <w:sz w:val="18"/>
                <w:szCs w:val="18"/>
              </w:rPr>
            </w:pPr>
            <w:r w:rsidRPr="000D7B09">
              <w:rPr>
                <w:sz w:val="18"/>
                <w:szCs w:val="18"/>
              </w:rPr>
              <w:t>xử lý vi phạm hành chính (Bộ Tư pháp)</w:t>
            </w:r>
            <w:r w:rsidRPr="000D7B09">
              <w:rPr>
                <w:spacing w:val="-4"/>
                <w:sz w:val="18"/>
                <w:szCs w:val="18"/>
              </w:rPr>
              <w:t>;</w:t>
            </w:r>
          </w:p>
          <w:p w14:paraId="41352E66" w14:textId="77777777" w:rsidR="00F61232" w:rsidRPr="000D7B09" w:rsidRDefault="00F61232" w:rsidP="00F61232">
            <w:pPr>
              <w:pStyle w:val="TableParagraph"/>
              <w:spacing w:after="0" w:line="240" w:lineRule="auto"/>
              <w:ind w:left="40"/>
              <w:jc w:val="both"/>
              <w:rPr>
                <w:sz w:val="18"/>
                <w:szCs w:val="18"/>
              </w:rPr>
            </w:pPr>
            <w:r w:rsidRPr="000D7B09">
              <w:rPr>
                <w:sz w:val="18"/>
                <w:szCs w:val="18"/>
              </w:rPr>
              <w:t xml:space="preserve">- Ban Thường vụ Tỉnh ủy; </w:t>
            </w:r>
          </w:p>
          <w:p w14:paraId="5AA38219" w14:textId="77777777" w:rsidR="00F61232" w:rsidRPr="000D7B09" w:rsidRDefault="00F61232" w:rsidP="00F61232">
            <w:pPr>
              <w:pStyle w:val="TableParagraph"/>
              <w:spacing w:after="0" w:line="240" w:lineRule="auto"/>
              <w:ind w:left="40"/>
              <w:jc w:val="both"/>
              <w:rPr>
                <w:sz w:val="18"/>
                <w:szCs w:val="18"/>
              </w:rPr>
            </w:pPr>
            <w:r w:rsidRPr="000D7B09">
              <w:rPr>
                <w:sz w:val="18"/>
                <w:szCs w:val="18"/>
              </w:rPr>
              <w:t>- Ban Thường vụ Đảng ủy các cơ quan Đảng tỉnh;</w:t>
            </w:r>
          </w:p>
          <w:p w14:paraId="38D09BEF" w14:textId="77777777" w:rsidR="00F61232" w:rsidRPr="000D7B09" w:rsidRDefault="00F61232" w:rsidP="00F61232">
            <w:pPr>
              <w:pStyle w:val="TableParagraph"/>
              <w:tabs>
                <w:tab w:val="left" w:pos="225"/>
              </w:tabs>
              <w:spacing w:after="0" w:line="240" w:lineRule="auto"/>
              <w:ind w:left="40"/>
              <w:jc w:val="both"/>
              <w:rPr>
                <w:sz w:val="18"/>
                <w:szCs w:val="18"/>
              </w:rPr>
            </w:pPr>
            <w:r w:rsidRPr="000D7B09">
              <w:rPr>
                <w:sz w:val="18"/>
                <w:szCs w:val="18"/>
              </w:rPr>
              <w:t xml:space="preserve">- Thường trực HĐND tỉnh; </w:t>
            </w:r>
          </w:p>
          <w:p w14:paraId="79F50D28" w14:textId="77777777" w:rsidR="00F61232" w:rsidRPr="000D7B09" w:rsidRDefault="00F61232" w:rsidP="00F61232">
            <w:pPr>
              <w:pStyle w:val="TableParagraph"/>
              <w:tabs>
                <w:tab w:val="left" w:pos="225"/>
              </w:tabs>
              <w:spacing w:after="0" w:line="240" w:lineRule="auto"/>
              <w:ind w:left="40"/>
              <w:jc w:val="both"/>
              <w:rPr>
                <w:sz w:val="18"/>
                <w:szCs w:val="18"/>
              </w:rPr>
            </w:pPr>
            <w:r w:rsidRPr="000D7B09">
              <w:rPr>
                <w:sz w:val="18"/>
                <w:szCs w:val="18"/>
              </w:rPr>
              <w:t xml:space="preserve">- Đoàn đại biểu Quốc hội tỉnh; </w:t>
            </w:r>
          </w:p>
          <w:p w14:paraId="21A99A49" w14:textId="77777777" w:rsidR="00F61232" w:rsidRPr="000D7B09" w:rsidRDefault="00F61232" w:rsidP="00F61232">
            <w:pPr>
              <w:pStyle w:val="TableParagraph"/>
              <w:tabs>
                <w:tab w:val="left" w:pos="225"/>
              </w:tabs>
              <w:spacing w:after="0" w:line="240" w:lineRule="auto"/>
              <w:ind w:left="40"/>
              <w:jc w:val="both"/>
              <w:rPr>
                <w:sz w:val="18"/>
                <w:szCs w:val="18"/>
              </w:rPr>
            </w:pPr>
            <w:r w:rsidRPr="000D7B09">
              <w:rPr>
                <w:sz w:val="18"/>
                <w:szCs w:val="18"/>
              </w:rPr>
              <w:t xml:space="preserve">- UBND tỉnh; </w:t>
            </w:r>
          </w:p>
          <w:p w14:paraId="01ABB43C" w14:textId="77777777" w:rsidR="00F61232" w:rsidRPr="000D7B09" w:rsidRDefault="00F61232" w:rsidP="00F61232">
            <w:pPr>
              <w:pStyle w:val="TableParagraph"/>
              <w:tabs>
                <w:tab w:val="left" w:pos="225"/>
              </w:tabs>
              <w:spacing w:after="0" w:line="240" w:lineRule="auto"/>
              <w:ind w:left="40"/>
              <w:jc w:val="both"/>
              <w:rPr>
                <w:sz w:val="18"/>
                <w:szCs w:val="18"/>
              </w:rPr>
            </w:pPr>
            <w:r w:rsidRPr="000D7B09">
              <w:rPr>
                <w:sz w:val="18"/>
                <w:szCs w:val="18"/>
              </w:rPr>
              <w:t xml:space="preserve">- Ủy ban MTTQ Việt Nam tỉnh; </w:t>
            </w:r>
          </w:p>
          <w:p w14:paraId="06F389A2" w14:textId="77777777" w:rsidR="00F61232" w:rsidRPr="000D7B09" w:rsidRDefault="00F61232" w:rsidP="00F61232">
            <w:pPr>
              <w:pStyle w:val="TableParagraph"/>
              <w:tabs>
                <w:tab w:val="left" w:pos="225"/>
              </w:tabs>
              <w:spacing w:after="0" w:line="240" w:lineRule="auto"/>
              <w:ind w:left="40"/>
              <w:jc w:val="both"/>
              <w:rPr>
                <w:sz w:val="18"/>
                <w:szCs w:val="18"/>
              </w:rPr>
            </w:pPr>
            <w:r w:rsidRPr="000D7B09">
              <w:rPr>
                <w:sz w:val="18"/>
                <w:szCs w:val="18"/>
              </w:rPr>
              <w:t xml:space="preserve">- Các cơ quan tham mưu, giúp việc Tỉnh ủy; </w:t>
            </w:r>
          </w:p>
          <w:p w14:paraId="6E58BBAA" w14:textId="77777777" w:rsidR="00F61232" w:rsidRPr="000D7B09" w:rsidRDefault="00F61232" w:rsidP="00F61232">
            <w:pPr>
              <w:pStyle w:val="TableParagraph"/>
              <w:tabs>
                <w:tab w:val="left" w:pos="225"/>
              </w:tabs>
              <w:spacing w:after="0" w:line="240" w:lineRule="auto"/>
              <w:ind w:left="40"/>
              <w:jc w:val="both"/>
              <w:rPr>
                <w:sz w:val="18"/>
                <w:szCs w:val="18"/>
              </w:rPr>
            </w:pPr>
            <w:r w:rsidRPr="000D7B09">
              <w:rPr>
                <w:sz w:val="18"/>
                <w:szCs w:val="18"/>
              </w:rPr>
              <w:t xml:space="preserve">- Các Ban HĐND tỉnh, đại biểu HĐND tỉnh; </w:t>
            </w:r>
          </w:p>
          <w:p w14:paraId="596B30A5" w14:textId="53E75476" w:rsidR="00F61232" w:rsidRPr="000D7B09" w:rsidRDefault="00F61232" w:rsidP="00F61232">
            <w:pPr>
              <w:pStyle w:val="TableParagraph"/>
              <w:tabs>
                <w:tab w:val="left" w:pos="225"/>
              </w:tabs>
              <w:spacing w:after="0" w:line="240" w:lineRule="auto"/>
              <w:ind w:left="40"/>
              <w:jc w:val="both"/>
              <w:rPr>
                <w:sz w:val="18"/>
                <w:szCs w:val="18"/>
              </w:rPr>
            </w:pPr>
            <w:r w:rsidRPr="000D7B09">
              <w:rPr>
                <w:sz w:val="18"/>
                <w:szCs w:val="18"/>
              </w:rPr>
              <w:t>-</w:t>
            </w:r>
            <w:r w:rsidR="00344C7E" w:rsidRPr="000D7B09">
              <w:rPr>
                <w:sz w:val="18"/>
                <w:szCs w:val="18"/>
              </w:rPr>
              <w:t xml:space="preserve"> </w:t>
            </w:r>
            <w:r w:rsidRPr="000D7B09">
              <w:rPr>
                <w:sz w:val="18"/>
                <w:szCs w:val="18"/>
              </w:rPr>
              <w:t>Các VP: Tỉnh ủy, Đoàn ĐBQH và HĐND tỉnh, UBND tỉnh;</w:t>
            </w:r>
          </w:p>
          <w:p w14:paraId="2105F5E9" w14:textId="77777777" w:rsidR="00F61232" w:rsidRPr="000D7B09" w:rsidRDefault="00F61232" w:rsidP="00F61232">
            <w:pPr>
              <w:pStyle w:val="TableParagraph"/>
              <w:tabs>
                <w:tab w:val="left" w:pos="225"/>
              </w:tabs>
              <w:spacing w:after="0" w:line="240" w:lineRule="auto"/>
              <w:ind w:left="40"/>
              <w:jc w:val="both"/>
              <w:rPr>
                <w:sz w:val="18"/>
                <w:szCs w:val="18"/>
              </w:rPr>
            </w:pPr>
            <w:r w:rsidRPr="000D7B09">
              <w:rPr>
                <w:sz w:val="18"/>
                <w:szCs w:val="18"/>
              </w:rPr>
              <w:t xml:space="preserve">- Các sở, ban, ngành, đoàn thể cấp tỉnh; </w:t>
            </w:r>
          </w:p>
          <w:p w14:paraId="3E12DA11" w14:textId="1F79DE60" w:rsidR="00F61232" w:rsidRPr="000D7B09" w:rsidRDefault="00F61232" w:rsidP="00F61232">
            <w:pPr>
              <w:pStyle w:val="TableParagraph"/>
              <w:tabs>
                <w:tab w:val="left" w:pos="225"/>
              </w:tabs>
              <w:spacing w:after="0" w:line="240" w:lineRule="auto"/>
              <w:ind w:left="40"/>
              <w:jc w:val="both"/>
              <w:rPr>
                <w:sz w:val="18"/>
                <w:szCs w:val="18"/>
              </w:rPr>
            </w:pPr>
            <w:r w:rsidRPr="000D7B09">
              <w:rPr>
                <w:sz w:val="18"/>
                <w:szCs w:val="18"/>
              </w:rPr>
              <w:t>- Thường trực HĐND, UBND, UBMTTQVN các xã, phường;</w:t>
            </w:r>
          </w:p>
          <w:p w14:paraId="08770CE2" w14:textId="6CA025BB" w:rsidR="00F61232" w:rsidRPr="000D7B09" w:rsidRDefault="00F61232" w:rsidP="00F61232">
            <w:pPr>
              <w:pStyle w:val="TableParagraph"/>
              <w:tabs>
                <w:tab w:val="left" w:pos="225"/>
              </w:tabs>
              <w:spacing w:after="0" w:line="240" w:lineRule="auto"/>
              <w:ind w:left="40"/>
              <w:jc w:val="both"/>
              <w:rPr>
                <w:sz w:val="18"/>
                <w:szCs w:val="18"/>
              </w:rPr>
            </w:pPr>
            <w:r w:rsidRPr="000D7B09">
              <w:rPr>
                <w:sz w:val="18"/>
                <w:szCs w:val="18"/>
              </w:rPr>
              <w:t xml:space="preserve">- Trung tâm phục vụ hành chính công tỉnh; </w:t>
            </w:r>
          </w:p>
          <w:p w14:paraId="64DEF64B" w14:textId="496C0A34" w:rsidR="00F61232" w:rsidRPr="000D7B09" w:rsidRDefault="00F61232" w:rsidP="00F61232">
            <w:pPr>
              <w:pStyle w:val="TableParagraph"/>
              <w:tabs>
                <w:tab w:val="left" w:pos="225"/>
              </w:tabs>
              <w:spacing w:after="0" w:line="240" w:lineRule="auto"/>
              <w:ind w:left="40"/>
              <w:jc w:val="both"/>
              <w:rPr>
                <w:sz w:val="18"/>
                <w:szCs w:val="18"/>
              </w:rPr>
            </w:pPr>
            <w:r w:rsidRPr="000D7B09">
              <w:rPr>
                <w:sz w:val="18"/>
                <w:szCs w:val="18"/>
              </w:rPr>
              <w:t>- Báo và Phát thanh</w:t>
            </w:r>
            <w:r w:rsidR="004D6516" w:rsidRPr="000D7B09">
              <w:rPr>
                <w:sz w:val="18"/>
                <w:szCs w:val="18"/>
              </w:rPr>
              <w:t>,</w:t>
            </w:r>
            <w:r w:rsidRPr="000D7B09">
              <w:rPr>
                <w:sz w:val="18"/>
                <w:szCs w:val="18"/>
              </w:rPr>
              <w:t xml:space="preserve"> truyền hình Gia Lai; </w:t>
            </w:r>
          </w:p>
          <w:p w14:paraId="62853505" w14:textId="77777777" w:rsidR="00F61232" w:rsidRPr="000D7B09" w:rsidRDefault="00F61232" w:rsidP="00F61232">
            <w:pPr>
              <w:pStyle w:val="TableParagraph"/>
              <w:tabs>
                <w:tab w:val="left" w:pos="225"/>
              </w:tabs>
              <w:spacing w:after="0" w:line="240" w:lineRule="auto"/>
              <w:ind w:left="40"/>
              <w:jc w:val="both"/>
              <w:rPr>
                <w:spacing w:val="-8"/>
                <w:sz w:val="18"/>
                <w:szCs w:val="18"/>
              </w:rPr>
            </w:pPr>
            <w:r w:rsidRPr="000D7B09">
              <w:rPr>
                <w:spacing w:val="-8"/>
                <w:sz w:val="18"/>
                <w:szCs w:val="18"/>
              </w:rPr>
              <w:t xml:space="preserve">- Trang thông tin điện tử Đoàn ĐBQH và HĐND tỉnh; </w:t>
            </w:r>
          </w:p>
          <w:p w14:paraId="62365FA3" w14:textId="128A1374" w:rsidR="00843A33" w:rsidRDefault="00F61232" w:rsidP="00F61232">
            <w:pPr>
              <w:pStyle w:val="TableParagraph"/>
              <w:tabs>
                <w:tab w:val="left" w:pos="225"/>
              </w:tabs>
              <w:spacing w:after="0" w:line="240" w:lineRule="auto"/>
              <w:ind w:left="40"/>
              <w:jc w:val="both"/>
              <w:rPr>
                <w:sz w:val="28"/>
                <w:szCs w:val="28"/>
              </w:rPr>
            </w:pPr>
            <w:r w:rsidRPr="000D7B09">
              <w:rPr>
                <w:sz w:val="18"/>
                <w:szCs w:val="18"/>
              </w:rPr>
              <w:t>- Lưu: VT, ….</w:t>
            </w:r>
          </w:p>
        </w:tc>
        <w:tc>
          <w:tcPr>
            <w:tcW w:w="4681" w:type="dxa"/>
          </w:tcPr>
          <w:p w14:paraId="5AFFCB2D" w14:textId="7590622F" w:rsidR="00843A33" w:rsidRPr="000D7B09" w:rsidRDefault="00843A33" w:rsidP="00644004">
            <w:pPr>
              <w:pStyle w:val="TableParagraph"/>
              <w:spacing w:after="0" w:line="240" w:lineRule="auto"/>
              <w:ind w:left="0"/>
              <w:jc w:val="center"/>
              <w:rPr>
                <w:b/>
                <w:sz w:val="28"/>
                <w:szCs w:val="28"/>
              </w:rPr>
            </w:pPr>
            <w:r w:rsidRPr="000D7B09">
              <w:rPr>
                <w:b/>
                <w:sz w:val="28"/>
                <w:szCs w:val="28"/>
              </w:rPr>
              <w:t>CHỦ TỊCH</w:t>
            </w:r>
          </w:p>
          <w:p w14:paraId="1D68BC3A" w14:textId="77777777" w:rsidR="00843A33" w:rsidRDefault="00843A33" w:rsidP="00644004">
            <w:pPr>
              <w:pStyle w:val="TableParagraph"/>
              <w:spacing w:after="0" w:line="240" w:lineRule="auto"/>
              <w:ind w:left="0"/>
              <w:jc w:val="center"/>
              <w:rPr>
                <w:sz w:val="28"/>
                <w:szCs w:val="28"/>
              </w:rPr>
            </w:pPr>
          </w:p>
          <w:p w14:paraId="5609D0EA" w14:textId="77777777" w:rsidR="00843A33" w:rsidRDefault="00843A33" w:rsidP="00644004">
            <w:pPr>
              <w:pStyle w:val="TableParagraph"/>
              <w:spacing w:after="0" w:line="240" w:lineRule="auto"/>
              <w:ind w:left="0"/>
              <w:jc w:val="center"/>
              <w:rPr>
                <w:b/>
                <w:sz w:val="28"/>
                <w:szCs w:val="28"/>
              </w:rPr>
            </w:pPr>
          </w:p>
          <w:p w14:paraId="51A084A9" w14:textId="77777777" w:rsidR="00843A33" w:rsidRDefault="00843A33" w:rsidP="00644004">
            <w:pPr>
              <w:spacing w:after="0" w:line="240" w:lineRule="auto"/>
              <w:jc w:val="center"/>
            </w:pPr>
          </w:p>
          <w:p w14:paraId="160E3791" w14:textId="77777777" w:rsidR="00843A33" w:rsidRDefault="00843A33" w:rsidP="00644004">
            <w:pPr>
              <w:spacing w:after="0" w:line="240" w:lineRule="auto"/>
              <w:jc w:val="center"/>
            </w:pPr>
          </w:p>
          <w:p w14:paraId="69475991" w14:textId="77777777" w:rsidR="00F61232" w:rsidRDefault="00F61232" w:rsidP="00644004">
            <w:pPr>
              <w:spacing w:after="0" w:line="240" w:lineRule="auto"/>
              <w:jc w:val="center"/>
            </w:pPr>
          </w:p>
          <w:p w14:paraId="3A7665EE" w14:textId="77777777" w:rsidR="00843A33" w:rsidRDefault="00843A33" w:rsidP="00644004">
            <w:pPr>
              <w:spacing w:after="0" w:line="240" w:lineRule="auto"/>
              <w:jc w:val="center"/>
            </w:pPr>
          </w:p>
          <w:p w14:paraId="6B313466" w14:textId="77777777" w:rsidR="00843A33" w:rsidRDefault="00843A33" w:rsidP="00644004">
            <w:pPr>
              <w:spacing w:after="0" w:line="240" w:lineRule="auto"/>
              <w:jc w:val="center"/>
            </w:pPr>
          </w:p>
          <w:p w14:paraId="59B41E32" w14:textId="77777777" w:rsidR="00843A33" w:rsidRDefault="00843A33" w:rsidP="00644004">
            <w:pPr>
              <w:spacing w:after="0" w:line="240" w:lineRule="auto"/>
              <w:jc w:val="center"/>
              <w:rPr>
                <w:b/>
                <w:sz w:val="28"/>
                <w:szCs w:val="28"/>
              </w:rPr>
            </w:pPr>
          </w:p>
          <w:p w14:paraId="6DF748CA" w14:textId="0AC42608" w:rsidR="00843A33" w:rsidRDefault="00F61232" w:rsidP="00644004">
            <w:pPr>
              <w:spacing w:after="0" w:line="240" w:lineRule="auto"/>
              <w:jc w:val="center"/>
              <w:rPr>
                <w:b/>
                <w:sz w:val="28"/>
                <w:szCs w:val="28"/>
              </w:rPr>
            </w:pPr>
            <w:r>
              <w:rPr>
                <w:b/>
                <w:sz w:val="28"/>
                <w:szCs w:val="28"/>
              </w:rPr>
              <w:t>Rah Lan Chung</w:t>
            </w:r>
          </w:p>
        </w:tc>
      </w:tr>
    </w:tbl>
    <w:p w14:paraId="7BE9CD73" w14:textId="77777777" w:rsidR="00510CF7" w:rsidRDefault="00510CF7" w:rsidP="004D6516">
      <w:pPr>
        <w:pStyle w:val="BodyText"/>
        <w:spacing w:before="120" w:after="0" w:line="240" w:lineRule="auto"/>
        <w:ind w:left="0" w:right="3" w:firstLine="709"/>
      </w:pPr>
    </w:p>
    <w:sectPr w:rsidR="00510CF7" w:rsidSect="004D6516">
      <w:headerReference w:type="default" r:id="rId8"/>
      <w:pgSz w:w="11907" w:h="16840" w:code="9"/>
      <w:pgMar w:top="1134" w:right="1134" w:bottom="1134" w:left="1701" w:header="425"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37067" w14:textId="77777777" w:rsidR="00DB6C37" w:rsidRDefault="00DB6C37">
      <w:pPr>
        <w:spacing w:after="0" w:line="240" w:lineRule="auto"/>
      </w:pPr>
      <w:r>
        <w:separator/>
      </w:r>
    </w:p>
  </w:endnote>
  <w:endnote w:type="continuationSeparator" w:id="0">
    <w:p w14:paraId="02CCBDCB" w14:textId="77777777" w:rsidR="00DB6C37" w:rsidRDefault="00DB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675A" w14:textId="77777777" w:rsidR="00DB6C37" w:rsidRDefault="00DB6C37">
      <w:pPr>
        <w:spacing w:after="0" w:line="240" w:lineRule="auto"/>
      </w:pPr>
      <w:r>
        <w:separator/>
      </w:r>
    </w:p>
  </w:footnote>
  <w:footnote w:type="continuationSeparator" w:id="0">
    <w:p w14:paraId="70AB5EA5" w14:textId="77777777" w:rsidR="00DB6C37" w:rsidRDefault="00DB6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59D4" w14:textId="0A40BF33" w:rsidR="00DA049D" w:rsidRDefault="00DA049D" w:rsidP="000579B5">
    <w:pPr>
      <w:pStyle w:val="Header"/>
    </w:pPr>
  </w:p>
  <w:p w14:paraId="77490742" w14:textId="77777777" w:rsidR="00DA049D" w:rsidRDefault="00DA049D">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01CD7"/>
    <w:multiLevelType w:val="multilevel"/>
    <w:tmpl w:val="4C301CD7"/>
    <w:lvl w:ilvl="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numFmt w:val="bullet"/>
      <w:lvlText w:val="•"/>
      <w:lvlJc w:val="left"/>
      <w:pPr>
        <w:ind w:left="605" w:hanging="128"/>
      </w:pPr>
      <w:rPr>
        <w:rFonts w:hint="default"/>
        <w:lang w:eastAsia="en-US" w:bidi="ar-SA"/>
      </w:rPr>
    </w:lvl>
    <w:lvl w:ilvl="2">
      <w:numFmt w:val="bullet"/>
      <w:lvlText w:val="•"/>
      <w:lvlJc w:val="left"/>
      <w:pPr>
        <w:ind w:left="1031" w:hanging="128"/>
      </w:pPr>
      <w:rPr>
        <w:rFonts w:hint="default"/>
        <w:lang w:eastAsia="en-US" w:bidi="ar-SA"/>
      </w:rPr>
    </w:lvl>
    <w:lvl w:ilvl="3">
      <w:numFmt w:val="bullet"/>
      <w:lvlText w:val="•"/>
      <w:lvlJc w:val="left"/>
      <w:pPr>
        <w:ind w:left="1457" w:hanging="128"/>
      </w:pPr>
      <w:rPr>
        <w:rFonts w:hint="default"/>
        <w:lang w:eastAsia="en-US" w:bidi="ar-SA"/>
      </w:rPr>
    </w:lvl>
    <w:lvl w:ilvl="4">
      <w:numFmt w:val="bullet"/>
      <w:lvlText w:val="•"/>
      <w:lvlJc w:val="left"/>
      <w:pPr>
        <w:ind w:left="1883" w:hanging="128"/>
      </w:pPr>
      <w:rPr>
        <w:rFonts w:hint="default"/>
        <w:lang w:eastAsia="en-US" w:bidi="ar-SA"/>
      </w:rPr>
    </w:lvl>
    <w:lvl w:ilvl="5">
      <w:numFmt w:val="bullet"/>
      <w:lvlText w:val="•"/>
      <w:lvlJc w:val="left"/>
      <w:pPr>
        <w:ind w:left="2309" w:hanging="128"/>
      </w:pPr>
      <w:rPr>
        <w:rFonts w:hint="default"/>
        <w:lang w:eastAsia="en-US" w:bidi="ar-SA"/>
      </w:rPr>
    </w:lvl>
    <w:lvl w:ilvl="6">
      <w:numFmt w:val="bullet"/>
      <w:lvlText w:val="•"/>
      <w:lvlJc w:val="left"/>
      <w:pPr>
        <w:ind w:left="2734" w:hanging="128"/>
      </w:pPr>
      <w:rPr>
        <w:rFonts w:hint="default"/>
        <w:lang w:eastAsia="en-US" w:bidi="ar-SA"/>
      </w:rPr>
    </w:lvl>
    <w:lvl w:ilvl="7">
      <w:numFmt w:val="bullet"/>
      <w:lvlText w:val="•"/>
      <w:lvlJc w:val="left"/>
      <w:pPr>
        <w:ind w:left="3160" w:hanging="128"/>
      </w:pPr>
      <w:rPr>
        <w:rFonts w:hint="default"/>
        <w:lang w:eastAsia="en-US" w:bidi="ar-SA"/>
      </w:rPr>
    </w:lvl>
    <w:lvl w:ilvl="8">
      <w:numFmt w:val="bullet"/>
      <w:lvlText w:val="•"/>
      <w:lvlJc w:val="left"/>
      <w:pPr>
        <w:ind w:left="3586" w:hanging="128"/>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9D"/>
    <w:rsid w:val="000579B5"/>
    <w:rsid w:val="000834DC"/>
    <w:rsid w:val="000A0AB0"/>
    <w:rsid w:val="000A51AB"/>
    <w:rsid w:val="000A74C8"/>
    <w:rsid w:val="000C28BA"/>
    <w:rsid w:val="000D7B09"/>
    <w:rsid w:val="00124D57"/>
    <w:rsid w:val="0012502A"/>
    <w:rsid w:val="00193FC2"/>
    <w:rsid w:val="001A2C92"/>
    <w:rsid w:val="001E14F2"/>
    <w:rsid w:val="001F2E23"/>
    <w:rsid w:val="00232554"/>
    <w:rsid w:val="002356C3"/>
    <w:rsid w:val="00247F84"/>
    <w:rsid w:val="002971DD"/>
    <w:rsid w:val="002B4B5B"/>
    <w:rsid w:val="002D1EA2"/>
    <w:rsid w:val="002D63C0"/>
    <w:rsid w:val="00344C7E"/>
    <w:rsid w:val="00367F72"/>
    <w:rsid w:val="003B074D"/>
    <w:rsid w:val="003B0933"/>
    <w:rsid w:val="003C539D"/>
    <w:rsid w:val="003F54BD"/>
    <w:rsid w:val="004011F0"/>
    <w:rsid w:val="00406964"/>
    <w:rsid w:val="00411CD4"/>
    <w:rsid w:val="0042077D"/>
    <w:rsid w:val="00443C06"/>
    <w:rsid w:val="00450548"/>
    <w:rsid w:val="00456DDD"/>
    <w:rsid w:val="0049479A"/>
    <w:rsid w:val="004973C4"/>
    <w:rsid w:val="004A05AD"/>
    <w:rsid w:val="004D3CE2"/>
    <w:rsid w:val="004D5359"/>
    <w:rsid w:val="004D6516"/>
    <w:rsid w:val="00510CF7"/>
    <w:rsid w:val="00531616"/>
    <w:rsid w:val="0054457A"/>
    <w:rsid w:val="0054722E"/>
    <w:rsid w:val="00553366"/>
    <w:rsid w:val="00563530"/>
    <w:rsid w:val="00567B37"/>
    <w:rsid w:val="00571489"/>
    <w:rsid w:val="00575219"/>
    <w:rsid w:val="0059573E"/>
    <w:rsid w:val="005B3C8E"/>
    <w:rsid w:val="005D76DF"/>
    <w:rsid w:val="005E0E0C"/>
    <w:rsid w:val="00604BB7"/>
    <w:rsid w:val="006252C5"/>
    <w:rsid w:val="00637F59"/>
    <w:rsid w:val="0064460A"/>
    <w:rsid w:val="00661980"/>
    <w:rsid w:val="00663991"/>
    <w:rsid w:val="006744F4"/>
    <w:rsid w:val="006C5FF7"/>
    <w:rsid w:val="006C78A3"/>
    <w:rsid w:val="006D1CE1"/>
    <w:rsid w:val="006D75FE"/>
    <w:rsid w:val="00713C12"/>
    <w:rsid w:val="007841ED"/>
    <w:rsid w:val="00785B28"/>
    <w:rsid w:val="007A560C"/>
    <w:rsid w:val="007C1B83"/>
    <w:rsid w:val="007D3894"/>
    <w:rsid w:val="007E2B1B"/>
    <w:rsid w:val="007E3D84"/>
    <w:rsid w:val="00810E23"/>
    <w:rsid w:val="0082112D"/>
    <w:rsid w:val="00843A33"/>
    <w:rsid w:val="00846CC4"/>
    <w:rsid w:val="00854A13"/>
    <w:rsid w:val="008B1631"/>
    <w:rsid w:val="008D32FA"/>
    <w:rsid w:val="008E1E63"/>
    <w:rsid w:val="008F5098"/>
    <w:rsid w:val="009154EF"/>
    <w:rsid w:val="00952AE6"/>
    <w:rsid w:val="0098501E"/>
    <w:rsid w:val="009862EF"/>
    <w:rsid w:val="009940F8"/>
    <w:rsid w:val="00A277DE"/>
    <w:rsid w:val="00A67F29"/>
    <w:rsid w:val="00A9711B"/>
    <w:rsid w:val="00AD2B87"/>
    <w:rsid w:val="00AF3F0D"/>
    <w:rsid w:val="00AF607F"/>
    <w:rsid w:val="00B04262"/>
    <w:rsid w:val="00B143A0"/>
    <w:rsid w:val="00B34700"/>
    <w:rsid w:val="00B47E01"/>
    <w:rsid w:val="00B53338"/>
    <w:rsid w:val="00B812CE"/>
    <w:rsid w:val="00BB189A"/>
    <w:rsid w:val="00BC6721"/>
    <w:rsid w:val="00BD608A"/>
    <w:rsid w:val="00C71DF3"/>
    <w:rsid w:val="00C7497D"/>
    <w:rsid w:val="00C86C8D"/>
    <w:rsid w:val="00CC4E22"/>
    <w:rsid w:val="00D135A3"/>
    <w:rsid w:val="00D737A6"/>
    <w:rsid w:val="00DA049D"/>
    <w:rsid w:val="00DB6C37"/>
    <w:rsid w:val="00DD38D6"/>
    <w:rsid w:val="00E131DE"/>
    <w:rsid w:val="00E6340B"/>
    <w:rsid w:val="00E743DE"/>
    <w:rsid w:val="00E81C6B"/>
    <w:rsid w:val="00F51B22"/>
    <w:rsid w:val="00F540F0"/>
    <w:rsid w:val="00F61232"/>
    <w:rsid w:val="00FC5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FF4B92D"/>
  <w15:docId w15:val="{2F014ADE-F4D9-4839-BAFF-61DDBF61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next w:val="Normal"/>
    <w:uiPriority w:val="1"/>
    <w:qFormat/>
    <w:pPr>
      <w:ind w:left="832" w:right="832"/>
      <w:jc w:val="center"/>
      <w:outlineLvl w:val="0"/>
    </w:pPr>
    <w:rPr>
      <w:b/>
      <w:bCs/>
      <w:sz w:val="28"/>
      <w:szCs w:val="28"/>
    </w:rPr>
  </w:style>
  <w:style w:type="paragraph" w:styleId="Heading2">
    <w:name w:val="heading 2"/>
    <w:basedOn w:val="Normal"/>
    <w:next w:val="Normal"/>
    <w:uiPriority w:val="1"/>
    <w:qFormat/>
    <w:pPr>
      <w:ind w:left="862"/>
      <w:jc w:val="both"/>
      <w:outlineLvl w:val="1"/>
    </w:pPr>
    <w:rPr>
      <w:b/>
      <w:bCs/>
      <w:sz w:val="28"/>
      <w:szCs w:val="28"/>
    </w:rPr>
  </w:style>
  <w:style w:type="paragraph" w:styleId="Heading3">
    <w:name w:val="heading 3"/>
    <w:basedOn w:val="Normal"/>
    <w:next w:val="Normal"/>
    <w:uiPriority w:val="9"/>
    <w:unhideWhenUsed/>
    <w:qFormat/>
    <w:pPr>
      <w:keepNext/>
      <w:keepLines/>
      <w:spacing w:before="260" w:after="260" w:line="416" w:lineRule="auto"/>
      <w:outlineLvl w:val="2"/>
    </w:pPr>
    <w:rPr>
      <w:b/>
      <w:bCs/>
      <w:sz w:val="32"/>
      <w:szCs w:val="32"/>
    </w:rPr>
  </w:style>
  <w:style w:type="paragraph" w:styleId="Heading4">
    <w:name w:val="heading 4"/>
    <w:next w:val="Normal"/>
    <w:uiPriority w:val="9"/>
    <w:unhideWhenUsed/>
    <w:qFormat/>
    <w:pPr>
      <w:spacing w:beforeAutospacing="1" w:after="0"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BodyText">
    <w:name w:val="Body Text"/>
    <w:basedOn w:val="Normal"/>
    <w:uiPriority w:val="1"/>
    <w:qFormat/>
    <w:pPr>
      <w:spacing w:before="119"/>
      <w:ind w:left="143" w:firstLine="719"/>
      <w:jc w:val="both"/>
    </w:pPr>
    <w:rPr>
      <w:sz w:val="28"/>
      <w:szCs w:val="28"/>
    </w:rPr>
  </w:style>
  <w:style w:type="paragraph" w:styleId="Footer">
    <w:name w:val="footer"/>
    <w:basedOn w:val="Normal"/>
    <w:link w:val="FooterChar"/>
    <w:uiPriority w:val="99"/>
    <w:unhideWhenUsed/>
    <w:pPr>
      <w:tabs>
        <w:tab w:val="center" w:pos="4680"/>
        <w:tab w:val="right" w:pos="9360"/>
      </w:tabs>
    </w:p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FootnoteReference">
    <w:name w:val="footnote reference"/>
    <w:basedOn w:val="DefaultParagraphFont"/>
    <w:uiPriority w:val="99"/>
    <w:unhideWhenUsed/>
    <w:rPr>
      <w:vertAlign w:val="superscript"/>
    </w:rPr>
  </w:style>
  <w:style w:type="paragraph" w:customStyle="1" w:styleId="ListParagraph1">
    <w:name w:val="List Paragraph1"/>
    <w:basedOn w:val="Normal"/>
    <w:uiPriority w:val="1"/>
    <w:qFormat/>
    <w:pPr>
      <w:spacing w:before="119"/>
      <w:ind w:left="143" w:right="135" w:firstLine="719"/>
      <w:jc w:val="both"/>
    </w:pPr>
  </w:style>
  <w:style w:type="paragraph" w:customStyle="1" w:styleId="TableParagraph">
    <w:name w:val="Table Paragraph"/>
    <w:basedOn w:val="Normal"/>
    <w:uiPriority w:val="1"/>
    <w:qFormat/>
    <w:pPr>
      <w:ind w:left="176"/>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fontstyle01">
    <w:name w:val="fontstyle01"/>
    <w:basedOn w:val="DefaultParagraphFont"/>
    <w:rPr>
      <w:rFonts w:ascii="TimesNewRomanPS-BoldMT" w:hAnsi="TimesNewRomanPS-BoldMT" w:hint="default"/>
      <w:b/>
      <w:bCs/>
      <w:color w:val="000000"/>
      <w:sz w:val="28"/>
      <w:szCs w:val="28"/>
    </w:rPr>
  </w:style>
  <w:style w:type="character" w:customStyle="1" w:styleId="fontstyle21">
    <w:name w:val="fontstyle21"/>
    <w:basedOn w:val="DefaultParagraphFont"/>
    <w:rPr>
      <w:rFonts w:ascii="TimesNewRomanPSMT" w:hAnsi="TimesNewRomanPSMT" w:hint="default"/>
      <w:color w:val="000000"/>
      <w:sz w:val="28"/>
      <w:szCs w:val="28"/>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styleId="ListParagraph">
    <w:name w:val="List Paragraph"/>
    <w:basedOn w:val="Normal"/>
    <w:uiPriority w:val="99"/>
    <w:unhideWhenUsed/>
    <w:rsid w:val="000A0AB0"/>
    <w:pPr>
      <w:ind w:left="720"/>
      <w:contextualSpacing/>
    </w:pPr>
  </w:style>
  <w:style w:type="character" w:customStyle="1" w:styleId="bzpyqfadein">
    <w:name w:val="bz_pyq_fadein"/>
    <w:basedOn w:val="DefaultParagraphFont"/>
    <w:rsid w:val="00344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4</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Phuong</cp:lastModifiedBy>
  <cp:revision>19</cp:revision>
  <cp:lastPrinted>2026-03-17T02:45:00Z</cp:lastPrinted>
  <dcterms:created xsi:type="dcterms:W3CDTF">2026-03-05T07:29:00Z</dcterms:created>
  <dcterms:modified xsi:type="dcterms:W3CDTF">2026-03-21T01:15:00Z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Microsoft® Word 2013</vt:lpwstr>
  </property>
  <property fmtid="{D5CDD505-2E9C-101B-9397-08002B2CF9AE}" pid="4" name="LastSaved">
    <vt:filetime>2025-07-15T00:00:00Z</vt:filetime>
  </property>
  <property fmtid="{D5CDD505-2E9C-101B-9397-08002B2CF9AE}" pid="5" name="Producer">
    <vt:lpwstr>Microsoft® Word 2013; modified using iTextSharp™ 5.5.9 ©2000-2016 iText Group NV (AGPL-version)</vt:lpwstr>
  </property>
  <property fmtid="{D5CDD505-2E9C-101B-9397-08002B2CF9AE}" pid="6" name="ICV">
    <vt:lpwstr>18F090569FA0EE1EC0377E6890BC6068_32</vt:lpwstr>
  </property>
  <property fmtid="{D5CDD505-2E9C-101B-9397-08002B2CF9AE}" pid="7" name="KSOProductBuildVer">
    <vt:lpwstr>2052-11.34.13</vt:lpwstr>
  </property>
</Properties>
</file>