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2"/>
        <w:gridCol w:w="1780"/>
        <w:gridCol w:w="3757"/>
        <w:gridCol w:w="4335"/>
        <w:gridCol w:w="3648"/>
      </w:tblGrid>
      <w:tr w:rsidR="00FA5FC0" w:rsidRPr="00D23A9A" w14:paraId="4791D4E7" w14:textId="77777777" w:rsidTr="00FA5FC0">
        <w:tc>
          <w:tcPr>
            <w:tcW w:w="14292" w:type="dxa"/>
            <w:gridSpan w:val="5"/>
            <w:tcBorders>
              <w:top w:val="nil"/>
              <w:left w:val="nil"/>
              <w:bottom w:val="nil"/>
              <w:right w:val="nil"/>
            </w:tcBorders>
            <w:shd w:val="clear" w:color="auto" w:fill="FFFFFF"/>
            <w:vAlign w:val="center"/>
            <w:hideMark/>
          </w:tcPr>
          <w:p w14:paraId="6B481671" w14:textId="21DCC781" w:rsidR="00FA5FC0" w:rsidRPr="00D23A9A" w:rsidRDefault="00FA5FC0" w:rsidP="00FA5FC0">
            <w:pPr>
              <w:spacing w:before="60" w:after="60" w:line="240" w:lineRule="auto"/>
              <w:ind w:left="97" w:right="167"/>
              <w:jc w:val="center"/>
              <w:rPr>
                <w:rFonts w:ascii="Times New Roman" w:hAnsi="Times New Roman" w:cs="Times New Roman"/>
                <w:b/>
                <w:bCs/>
              </w:rPr>
            </w:pPr>
            <w:r w:rsidRPr="00825357">
              <w:rPr>
                <w:rFonts w:ascii="Times New Roman" w:hAnsi="Times New Roman" w:cs="Times New Roman"/>
                <w:b/>
                <w:bCs/>
                <w:sz w:val="26"/>
                <w:szCs w:val="26"/>
              </w:rPr>
              <w:t>THUYẾT MINH SỬA ĐỔI, BỔ SUNG QuyẾT ĐỊNH SỐ 23/2025/QĐ-UBND NGÀY 25/9/2025 CỦA ỦY BAN NHÂN DÂN TỈNH GIA LAI QUY ĐỊNH VỀ TRÌNH TỰ, THỦ TỤC LẬP, THẨM ĐỊNH, PHÊ DUYỆT, CÔNG BỐ ĐIỀU CHỈNH CỤC BỘ QUY HOẠCH ĐÔ THỊ VÀ NÔNG THÔN ĐÃ ĐƯỢC ỦY BAN NHÂN DÂN TỈNH PHÊ DUYỆT DO ỦY BAN NHÂN DÂN CẤP XÃ TỔ CHỨC LẬP TRÊN ĐỊA BÀN TỈNH GIA LAI</w:t>
            </w:r>
          </w:p>
        </w:tc>
      </w:tr>
      <w:tr w:rsidR="00FA5FC0" w:rsidRPr="00D23A9A" w14:paraId="02887BC3" w14:textId="77777777" w:rsidTr="00FA5FC0">
        <w:tc>
          <w:tcPr>
            <w:tcW w:w="772" w:type="dxa"/>
            <w:tcBorders>
              <w:top w:val="nil"/>
              <w:left w:val="nil"/>
              <w:bottom w:val="single" w:sz="4" w:space="0" w:color="auto"/>
              <w:right w:val="nil"/>
            </w:tcBorders>
            <w:shd w:val="clear" w:color="auto" w:fill="FFFFFF"/>
            <w:vAlign w:val="center"/>
          </w:tcPr>
          <w:p w14:paraId="4F5C22D7" w14:textId="77777777" w:rsidR="00FA5FC0" w:rsidRPr="00D23A9A" w:rsidRDefault="00FA5FC0" w:rsidP="00FA5FC0">
            <w:pPr>
              <w:spacing w:before="60" w:after="60" w:line="240" w:lineRule="auto"/>
              <w:ind w:left="41" w:right="23"/>
              <w:jc w:val="center"/>
              <w:rPr>
                <w:rFonts w:ascii="Times New Roman" w:hAnsi="Times New Roman" w:cs="Times New Roman"/>
                <w:b/>
                <w:bCs/>
              </w:rPr>
            </w:pPr>
          </w:p>
        </w:tc>
        <w:tc>
          <w:tcPr>
            <w:tcW w:w="1780" w:type="dxa"/>
            <w:tcBorders>
              <w:top w:val="nil"/>
              <w:left w:val="nil"/>
              <w:bottom w:val="single" w:sz="4" w:space="0" w:color="auto"/>
              <w:right w:val="nil"/>
            </w:tcBorders>
            <w:shd w:val="clear" w:color="auto" w:fill="FFFFFF"/>
            <w:vAlign w:val="center"/>
          </w:tcPr>
          <w:p w14:paraId="1CB16760" w14:textId="77777777" w:rsidR="00FA5FC0" w:rsidRPr="00D23A9A" w:rsidRDefault="00FA5FC0" w:rsidP="00FA5FC0">
            <w:pPr>
              <w:spacing w:before="60" w:after="60" w:line="240" w:lineRule="auto"/>
              <w:jc w:val="center"/>
              <w:rPr>
                <w:rFonts w:ascii="Times New Roman" w:hAnsi="Times New Roman" w:cs="Times New Roman"/>
                <w:b/>
                <w:bCs/>
              </w:rPr>
            </w:pPr>
          </w:p>
        </w:tc>
        <w:tc>
          <w:tcPr>
            <w:tcW w:w="3757" w:type="dxa"/>
            <w:tcBorders>
              <w:top w:val="nil"/>
              <w:left w:val="nil"/>
              <w:bottom w:val="single" w:sz="4" w:space="0" w:color="auto"/>
              <w:right w:val="nil"/>
            </w:tcBorders>
            <w:shd w:val="clear" w:color="auto" w:fill="FFFFFF"/>
            <w:vAlign w:val="center"/>
          </w:tcPr>
          <w:p w14:paraId="5CD79C79" w14:textId="77777777" w:rsidR="00FA5FC0" w:rsidRPr="00D23A9A" w:rsidRDefault="00FA5FC0" w:rsidP="00FA5FC0">
            <w:pPr>
              <w:spacing w:before="60" w:after="60" w:line="240" w:lineRule="auto"/>
              <w:ind w:left="98" w:right="131"/>
              <w:jc w:val="center"/>
              <w:rPr>
                <w:rFonts w:ascii="Times New Roman" w:hAnsi="Times New Roman" w:cs="Times New Roman"/>
                <w:b/>
                <w:bCs/>
              </w:rPr>
            </w:pPr>
          </w:p>
        </w:tc>
        <w:tc>
          <w:tcPr>
            <w:tcW w:w="0" w:type="auto"/>
            <w:tcBorders>
              <w:top w:val="nil"/>
              <w:left w:val="nil"/>
              <w:bottom w:val="single" w:sz="4" w:space="0" w:color="auto"/>
              <w:right w:val="nil"/>
            </w:tcBorders>
            <w:shd w:val="clear" w:color="auto" w:fill="FFFFFF"/>
            <w:vAlign w:val="center"/>
          </w:tcPr>
          <w:p w14:paraId="569ABC8D" w14:textId="77777777" w:rsidR="00FA5FC0" w:rsidRPr="00D23A9A" w:rsidRDefault="00FA5FC0" w:rsidP="00FA5FC0">
            <w:pPr>
              <w:spacing w:before="60" w:after="60" w:line="240" w:lineRule="auto"/>
              <w:ind w:left="108" w:right="132"/>
              <w:jc w:val="center"/>
              <w:rPr>
                <w:rFonts w:ascii="Times New Roman" w:hAnsi="Times New Roman" w:cs="Times New Roman"/>
                <w:b/>
                <w:bCs/>
              </w:rPr>
            </w:pPr>
          </w:p>
        </w:tc>
        <w:tc>
          <w:tcPr>
            <w:tcW w:w="0" w:type="auto"/>
            <w:tcBorders>
              <w:top w:val="nil"/>
              <w:left w:val="nil"/>
              <w:bottom w:val="single" w:sz="4" w:space="0" w:color="auto"/>
              <w:right w:val="nil"/>
            </w:tcBorders>
            <w:shd w:val="clear" w:color="auto" w:fill="FFFFFF"/>
            <w:vAlign w:val="center"/>
          </w:tcPr>
          <w:p w14:paraId="09404AF6" w14:textId="77777777" w:rsidR="00FA5FC0" w:rsidRPr="00D23A9A" w:rsidRDefault="00FA5FC0" w:rsidP="00FA5FC0">
            <w:pPr>
              <w:spacing w:before="60" w:after="60" w:line="240" w:lineRule="auto"/>
              <w:ind w:left="97" w:right="167"/>
              <w:jc w:val="center"/>
              <w:rPr>
                <w:rFonts w:ascii="Times New Roman" w:hAnsi="Times New Roman" w:cs="Times New Roman"/>
                <w:b/>
                <w:bCs/>
              </w:rPr>
            </w:pPr>
          </w:p>
        </w:tc>
      </w:tr>
      <w:tr w:rsidR="00FA5FC0" w:rsidRPr="00D23A9A" w14:paraId="64902A94" w14:textId="77777777" w:rsidTr="00FA5FC0">
        <w:trPr>
          <w:tblHeader/>
        </w:trPr>
        <w:tc>
          <w:tcPr>
            <w:tcW w:w="772" w:type="dxa"/>
            <w:tcBorders>
              <w:top w:val="single" w:sz="4" w:space="0" w:color="auto"/>
            </w:tcBorders>
            <w:shd w:val="clear" w:color="auto" w:fill="FFFFFF"/>
            <w:vAlign w:val="center"/>
          </w:tcPr>
          <w:p w14:paraId="4B65254D" w14:textId="49376E5D" w:rsidR="00FA5FC0" w:rsidRPr="00D23A9A" w:rsidRDefault="00FA5FC0" w:rsidP="00FA5FC0">
            <w:pPr>
              <w:spacing w:before="60" w:after="60" w:line="240" w:lineRule="auto"/>
              <w:ind w:left="41" w:right="23"/>
              <w:jc w:val="center"/>
              <w:rPr>
                <w:rFonts w:ascii="Times New Roman" w:hAnsi="Times New Roman" w:cs="Times New Roman"/>
                <w:b/>
                <w:bCs/>
              </w:rPr>
            </w:pPr>
            <w:r w:rsidRPr="00D23A9A">
              <w:rPr>
                <w:rFonts w:ascii="Times New Roman" w:hAnsi="Times New Roman" w:cs="Times New Roman"/>
                <w:b/>
                <w:bCs/>
              </w:rPr>
              <w:t>STT</w:t>
            </w:r>
          </w:p>
        </w:tc>
        <w:tc>
          <w:tcPr>
            <w:tcW w:w="1780" w:type="dxa"/>
            <w:tcBorders>
              <w:top w:val="single" w:sz="4" w:space="0" w:color="auto"/>
            </w:tcBorders>
            <w:shd w:val="clear" w:color="auto" w:fill="FFFFFF"/>
            <w:vAlign w:val="center"/>
          </w:tcPr>
          <w:p w14:paraId="0254DE1B" w14:textId="6E91B8CE" w:rsidR="00FA5FC0" w:rsidRPr="00D23A9A" w:rsidRDefault="00FA5FC0" w:rsidP="00FA5FC0">
            <w:pPr>
              <w:spacing w:before="60" w:after="60" w:line="240" w:lineRule="auto"/>
              <w:jc w:val="center"/>
              <w:rPr>
                <w:rFonts w:ascii="Times New Roman" w:hAnsi="Times New Roman" w:cs="Times New Roman"/>
                <w:b/>
                <w:bCs/>
              </w:rPr>
            </w:pPr>
            <w:r w:rsidRPr="00D23A9A">
              <w:rPr>
                <w:rFonts w:ascii="Times New Roman" w:hAnsi="Times New Roman" w:cs="Times New Roman"/>
                <w:b/>
                <w:bCs/>
              </w:rPr>
              <w:t>Điều khoản</w:t>
            </w:r>
          </w:p>
        </w:tc>
        <w:tc>
          <w:tcPr>
            <w:tcW w:w="3757" w:type="dxa"/>
            <w:tcBorders>
              <w:top w:val="single" w:sz="4" w:space="0" w:color="auto"/>
            </w:tcBorders>
            <w:shd w:val="clear" w:color="auto" w:fill="FFFFFF"/>
            <w:vAlign w:val="center"/>
          </w:tcPr>
          <w:p w14:paraId="0CD97134" w14:textId="676B9A90" w:rsidR="00FA5FC0" w:rsidRPr="00D23A9A" w:rsidRDefault="00FA5FC0" w:rsidP="00FA5FC0">
            <w:pPr>
              <w:spacing w:before="60" w:after="60" w:line="240" w:lineRule="auto"/>
              <w:ind w:left="98" w:right="131"/>
              <w:jc w:val="center"/>
              <w:rPr>
                <w:rFonts w:ascii="Times New Roman" w:hAnsi="Times New Roman" w:cs="Times New Roman"/>
                <w:b/>
                <w:bCs/>
              </w:rPr>
            </w:pPr>
            <w:r w:rsidRPr="00D23A9A">
              <w:rPr>
                <w:rFonts w:ascii="Times New Roman" w:hAnsi="Times New Roman" w:cs="Times New Roman"/>
                <w:b/>
                <w:bCs/>
              </w:rPr>
              <w:t>Nội dung hiện hành (QĐ số 23/2025/QĐ-UBND)</w:t>
            </w:r>
          </w:p>
        </w:tc>
        <w:tc>
          <w:tcPr>
            <w:tcW w:w="0" w:type="auto"/>
            <w:tcBorders>
              <w:top w:val="single" w:sz="4" w:space="0" w:color="auto"/>
            </w:tcBorders>
            <w:shd w:val="clear" w:color="auto" w:fill="FFFFFF"/>
            <w:vAlign w:val="center"/>
          </w:tcPr>
          <w:p w14:paraId="0CD87EA2" w14:textId="26157D86" w:rsidR="00FA5FC0" w:rsidRPr="00D23A9A" w:rsidRDefault="00FA5FC0" w:rsidP="00FA5FC0">
            <w:pPr>
              <w:spacing w:before="60" w:after="60" w:line="240" w:lineRule="auto"/>
              <w:ind w:left="108" w:right="132"/>
              <w:jc w:val="center"/>
              <w:rPr>
                <w:rFonts w:ascii="Times New Roman" w:hAnsi="Times New Roman" w:cs="Times New Roman"/>
                <w:b/>
                <w:bCs/>
              </w:rPr>
            </w:pPr>
            <w:r w:rsidRPr="00D23A9A">
              <w:rPr>
                <w:rFonts w:ascii="Times New Roman" w:hAnsi="Times New Roman" w:cs="Times New Roman"/>
                <w:b/>
                <w:bCs/>
              </w:rPr>
              <w:t>Nội dung dự thảo sửa đổi, bổ sung</w:t>
            </w:r>
          </w:p>
        </w:tc>
        <w:tc>
          <w:tcPr>
            <w:tcW w:w="0" w:type="auto"/>
            <w:tcBorders>
              <w:top w:val="single" w:sz="4" w:space="0" w:color="auto"/>
            </w:tcBorders>
            <w:shd w:val="clear" w:color="auto" w:fill="FFFFFF"/>
            <w:vAlign w:val="center"/>
          </w:tcPr>
          <w:p w14:paraId="687ED3CC" w14:textId="217D5725" w:rsidR="00FA5FC0" w:rsidRPr="00D23A9A" w:rsidRDefault="00FA5FC0" w:rsidP="00FA5FC0">
            <w:pPr>
              <w:spacing w:before="60" w:after="60" w:line="240" w:lineRule="auto"/>
              <w:ind w:left="97" w:right="167"/>
              <w:jc w:val="center"/>
              <w:rPr>
                <w:rFonts w:ascii="Times New Roman" w:hAnsi="Times New Roman" w:cs="Times New Roman"/>
                <w:b/>
                <w:bCs/>
              </w:rPr>
            </w:pPr>
            <w:r w:rsidRPr="00D23A9A">
              <w:rPr>
                <w:rFonts w:ascii="Times New Roman" w:hAnsi="Times New Roman" w:cs="Times New Roman"/>
                <w:b/>
                <w:bCs/>
              </w:rPr>
              <w:t>Lý do sửa đổi, bổ sung</w:t>
            </w:r>
          </w:p>
        </w:tc>
      </w:tr>
      <w:tr w:rsidR="00FA5FC0" w:rsidRPr="00D23A9A" w14:paraId="1811AE37" w14:textId="77777777" w:rsidTr="0061288E">
        <w:tc>
          <w:tcPr>
            <w:tcW w:w="772" w:type="dxa"/>
            <w:shd w:val="clear" w:color="auto" w:fill="FFFFFF"/>
            <w:vAlign w:val="center"/>
            <w:hideMark/>
          </w:tcPr>
          <w:p w14:paraId="40A17277" w14:textId="77777777" w:rsidR="00FA5FC0" w:rsidRPr="00D23A9A" w:rsidRDefault="00FA5FC0" w:rsidP="00FA5FC0">
            <w:pPr>
              <w:spacing w:before="60" w:after="60" w:line="240" w:lineRule="auto"/>
              <w:ind w:left="41" w:right="23"/>
              <w:jc w:val="center"/>
              <w:rPr>
                <w:rFonts w:ascii="Times New Roman" w:hAnsi="Times New Roman" w:cs="Times New Roman"/>
              </w:rPr>
            </w:pPr>
            <w:r w:rsidRPr="00D23A9A">
              <w:rPr>
                <w:rFonts w:ascii="Times New Roman" w:hAnsi="Times New Roman" w:cs="Times New Roman"/>
              </w:rPr>
              <w:t>1</w:t>
            </w:r>
          </w:p>
        </w:tc>
        <w:tc>
          <w:tcPr>
            <w:tcW w:w="1780" w:type="dxa"/>
            <w:shd w:val="clear" w:color="auto" w:fill="FFFFFF"/>
            <w:vAlign w:val="center"/>
            <w:hideMark/>
          </w:tcPr>
          <w:p w14:paraId="0CB12330" w14:textId="77777777" w:rsidR="00FA5FC0" w:rsidRPr="00D23A9A" w:rsidRDefault="00FA5FC0" w:rsidP="00FA5FC0">
            <w:pPr>
              <w:spacing w:before="60" w:after="60" w:line="240" w:lineRule="auto"/>
              <w:ind w:left="53" w:right="88"/>
              <w:jc w:val="both"/>
              <w:rPr>
                <w:rFonts w:ascii="Times New Roman" w:hAnsi="Times New Roman" w:cs="Times New Roman"/>
              </w:rPr>
            </w:pPr>
            <w:r w:rsidRPr="00D23A9A">
              <w:rPr>
                <w:rFonts w:ascii="Times New Roman" w:hAnsi="Times New Roman" w:cs="Times New Roman"/>
                <w:b/>
                <w:bCs/>
              </w:rPr>
              <w:t>Tên Quyết định</w:t>
            </w:r>
          </w:p>
        </w:tc>
        <w:tc>
          <w:tcPr>
            <w:tcW w:w="3757" w:type="dxa"/>
            <w:shd w:val="clear" w:color="auto" w:fill="FFFFFF"/>
            <w:vAlign w:val="center"/>
            <w:hideMark/>
          </w:tcPr>
          <w:p w14:paraId="029FA7C2" w14:textId="77777777" w:rsidR="00FA5FC0" w:rsidRPr="00D23A9A" w:rsidRDefault="00FA5FC0" w:rsidP="00FA5FC0">
            <w:pPr>
              <w:spacing w:before="60" w:after="60" w:line="240" w:lineRule="auto"/>
              <w:ind w:left="98" w:right="131"/>
              <w:jc w:val="both"/>
              <w:rPr>
                <w:rFonts w:ascii="Times New Roman" w:hAnsi="Times New Roman" w:cs="Times New Roman"/>
              </w:rPr>
            </w:pPr>
            <w:r w:rsidRPr="00D23A9A">
              <w:rPr>
                <w:rFonts w:ascii="Times New Roman" w:hAnsi="Times New Roman" w:cs="Times New Roman"/>
              </w:rPr>
              <w:t xml:space="preserve">Quy định về trình tự, thủ tục lập, thẩm định, phê duyệt, công bố điều chỉnh cục bộ Quy hoạch đô thị và nông thôn </w:t>
            </w:r>
            <w:r w:rsidRPr="00D23A9A">
              <w:rPr>
                <w:rFonts w:ascii="Times New Roman" w:hAnsi="Times New Roman" w:cs="Times New Roman"/>
                <w:strike/>
              </w:rPr>
              <w:t>đã được Ủy ban nhân dân tỉnh phê duyệt do Ủy ban nhân dân cấp xã tổ chức lập</w:t>
            </w:r>
            <w:r w:rsidRPr="00D23A9A">
              <w:rPr>
                <w:rFonts w:ascii="Times New Roman" w:hAnsi="Times New Roman" w:cs="Times New Roman"/>
              </w:rPr>
              <w:t xml:space="preserve"> trên địa bàn tỉnh Gia Lai.</w:t>
            </w:r>
          </w:p>
        </w:tc>
        <w:tc>
          <w:tcPr>
            <w:tcW w:w="0" w:type="auto"/>
            <w:shd w:val="clear" w:color="auto" w:fill="FFFFFF"/>
            <w:vAlign w:val="center"/>
            <w:hideMark/>
          </w:tcPr>
          <w:p w14:paraId="41F35D3F" w14:textId="77777777" w:rsidR="00FA5FC0" w:rsidRPr="00D23A9A" w:rsidRDefault="00FA5FC0" w:rsidP="00FA5FC0">
            <w:pPr>
              <w:spacing w:before="60" w:after="60" w:line="240" w:lineRule="auto"/>
              <w:ind w:left="108" w:right="132"/>
              <w:jc w:val="both"/>
              <w:rPr>
                <w:rFonts w:ascii="Times New Roman" w:hAnsi="Times New Roman" w:cs="Times New Roman"/>
              </w:rPr>
            </w:pPr>
            <w:r w:rsidRPr="00D23A9A">
              <w:rPr>
                <w:rFonts w:ascii="Times New Roman" w:hAnsi="Times New Roman" w:cs="Times New Roman"/>
              </w:rPr>
              <w:t xml:space="preserve">Quy định về trình tự, thủ tục lập, thẩm định, phê duyệt, công bố điều chỉnh cục bộ Quy hoạch đô thị và nông thôn </w:t>
            </w:r>
            <w:r w:rsidRPr="00D23A9A">
              <w:rPr>
                <w:rFonts w:ascii="Times New Roman" w:hAnsi="Times New Roman" w:cs="Times New Roman"/>
                <w:b/>
                <w:bCs/>
              </w:rPr>
              <w:t>thuộc thẩm quyền phê duyệt của Ủy ban nhân dân tỉnh</w:t>
            </w:r>
            <w:r w:rsidRPr="00D23A9A">
              <w:rPr>
                <w:rFonts w:ascii="Times New Roman" w:hAnsi="Times New Roman" w:cs="Times New Roman"/>
              </w:rPr>
              <w:t xml:space="preserve"> trên địa bàn tỉnh Gia Lai.</w:t>
            </w:r>
          </w:p>
        </w:tc>
        <w:tc>
          <w:tcPr>
            <w:tcW w:w="0" w:type="auto"/>
            <w:shd w:val="clear" w:color="auto" w:fill="FFFFFF"/>
            <w:vAlign w:val="center"/>
            <w:hideMark/>
          </w:tcPr>
          <w:p w14:paraId="304D1454" w14:textId="77777777" w:rsidR="00FA5FC0" w:rsidRPr="00D23A9A" w:rsidRDefault="00FA5FC0" w:rsidP="00FA5FC0">
            <w:pPr>
              <w:spacing w:before="60" w:after="60" w:line="240" w:lineRule="auto"/>
              <w:ind w:left="97" w:right="167"/>
              <w:jc w:val="both"/>
              <w:rPr>
                <w:rFonts w:ascii="Times New Roman" w:hAnsi="Times New Roman" w:cs="Times New Roman"/>
              </w:rPr>
            </w:pPr>
            <w:r w:rsidRPr="00D23A9A">
              <w:rPr>
                <w:rFonts w:ascii="Times New Roman" w:hAnsi="Times New Roman" w:cs="Times New Roman"/>
              </w:rPr>
              <w:t>Nhằm đảm bảo thống nhất thuật ngữ và thẩm quyền theo quy định tại khoản 31 Điều 1 Luật số 144/2025/QH15 (sửa đổi, bổ sung khoản 3 Điều 48 Luật số 47/2024/QH15).</w:t>
            </w:r>
          </w:p>
        </w:tc>
      </w:tr>
      <w:tr w:rsidR="00FA5FC0" w:rsidRPr="00D23A9A" w14:paraId="360B1869" w14:textId="77777777" w:rsidTr="0061288E">
        <w:tc>
          <w:tcPr>
            <w:tcW w:w="772" w:type="dxa"/>
            <w:shd w:val="clear" w:color="auto" w:fill="FFFFFF"/>
            <w:vAlign w:val="center"/>
            <w:hideMark/>
          </w:tcPr>
          <w:p w14:paraId="79552355" w14:textId="77777777" w:rsidR="00FA5FC0" w:rsidRPr="00D23A9A" w:rsidRDefault="00FA5FC0" w:rsidP="00FA5FC0">
            <w:pPr>
              <w:spacing w:before="60" w:after="60" w:line="240" w:lineRule="auto"/>
              <w:ind w:left="41" w:right="23"/>
              <w:jc w:val="center"/>
              <w:rPr>
                <w:rFonts w:ascii="Times New Roman" w:hAnsi="Times New Roman" w:cs="Times New Roman"/>
              </w:rPr>
            </w:pPr>
            <w:r w:rsidRPr="00D23A9A">
              <w:rPr>
                <w:rFonts w:ascii="Times New Roman" w:hAnsi="Times New Roman" w:cs="Times New Roman"/>
              </w:rPr>
              <w:t>2</w:t>
            </w:r>
          </w:p>
        </w:tc>
        <w:tc>
          <w:tcPr>
            <w:tcW w:w="1780" w:type="dxa"/>
            <w:shd w:val="clear" w:color="auto" w:fill="FFFFFF"/>
            <w:vAlign w:val="center"/>
            <w:hideMark/>
          </w:tcPr>
          <w:p w14:paraId="52396C4A" w14:textId="77777777" w:rsidR="00FA5FC0" w:rsidRPr="00D23A9A" w:rsidRDefault="00FA5FC0" w:rsidP="00FA5FC0">
            <w:pPr>
              <w:spacing w:before="60" w:after="60" w:line="240" w:lineRule="auto"/>
              <w:jc w:val="both"/>
              <w:rPr>
                <w:rFonts w:ascii="Times New Roman" w:hAnsi="Times New Roman" w:cs="Times New Roman"/>
              </w:rPr>
            </w:pPr>
            <w:r w:rsidRPr="00D23A9A">
              <w:rPr>
                <w:rFonts w:ascii="Times New Roman" w:hAnsi="Times New Roman" w:cs="Times New Roman"/>
                <w:b/>
                <w:bCs/>
              </w:rPr>
              <w:t>Khoản 1 Điều 1</w:t>
            </w:r>
            <w:r w:rsidRPr="00D23A9A">
              <w:rPr>
                <w:rFonts w:ascii="Times New Roman" w:hAnsi="Times New Roman" w:cs="Times New Roman"/>
              </w:rPr>
              <w:t xml:space="preserve"> (Phạm vi điều chỉnh)</w:t>
            </w:r>
          </w:p>
        </w:tc>
        <w:tc>
          <w:tcPr>
            <w:tcW w:w="3757" w:type="dxa"/>
            <w:shd w:val="clear" w:color="auto" w:fill="FFFFFF"/>
            <w:vAlign w:val="center"/>
            <w:hideMark/>
          </w:tcPr>
          <w:p w14:paraId="7FFC28D2" w14:textId="77777777" w:rsidR="00FA5FC0" w:rsidRPr="00D23A9A" w:rsidRDefault="00FA5FC0" w:rsidP="00FA5FC0">
            <w:pPr>
              <w:spacing w:before="60" w:after="60" w:line="240" w:lineRule="auto"/>
              <w:ind w:left="98" w:right="131"/>
              <w:jc w:val="both"/>
              <w:rPr>
                <w:rFonts w:ascii="Times New Roman" w:hAnsi="Times New Roman" w:cs="Times New Roman"/>
              </w:rPr>
            </w:pPr>
            <w:r w:rsidRPr="00D23A9A">
              <w:rPr>
                <w:rFonts w:ascii="Times New Roman" w:hAnsi="Times New Roman" w:cs="Times New Roman"/>
              </w:rPr>
              <w:t xml:space="preserve">1. Quyết định này quy định chi tiết khoản 3 Điều 48 Luật Quy hoạch đô thị và nông thôn số 47/2024/QH15 về trình tự, thủ tục lập, thẩm định, phê duyệt, công bố điều chỉnh cục bộ Quy hoạch đô thị và nông thôn </w:t>
            </w:r>
            <w:r w:rsidRPr="00D23A9A">
              <w:rPr>
                <w:rFonts w:ascii="Times New Roman" w:hAnsi="Times New Roman" w:cs="Times New Roman"/>
                <w:strike/>
              </w:rPr>
              <w:t>đã được Ủy ban nhân dân tỉnh phê duyệt do Ủy ban nhân dân cấp xã tổ chức lập</w:t>
            </w:r>
            <w:r w:rsidRPr="00D23A9A">
              <w:rPr>
                <w:rFonts w:ascii="Times New Roman" w:hAnsi="Times New Roman" w:cs="Times New Roman"/>
              </w:rPr>
              <w:t xml:space="preserve"> trên địa bàn tỉnh Gia Lai.</w:t>
            </w:r>
          </w:p>
        </w:tc>
        <w:tc>
          <w:tcPr>
            <w:tcW w:w="0" w:type="auto"/>
            <w:shd w:val="clear" w:color="auto" w:fill="FFFFFF"/>
            <w:vAlign w:val="center"/>
            <w:hideMark/>
          </w:tcPr>
          <w:p w14:paraId="07B70D9C" w14:textId="77777777" w:rsidR="00FA5FC0" w:rsidRPr="00D23A9A" w:rsidRDefault="00FA5FC0" w:rsidP="00FA5FC0">
            <w:pPr>
              <w:spacing w:before="60" w:after="60" w:line="240" w:lineRule="auto"/>
              <w:ind w:left="108" w:right="132"/>
              <w:jc w:val="both"/>
              <w:rPr>
                <w:rFonts w:ascii="Times New Roman" w:hAnsi="Times New Roman" w:cs="Times New Roman"/>
              </w:rPr>
            </w:pPr>
            <w:r w:rsidRPr="00D23A9A">
              <w:rPr>
                <w:rFonts w:ascii="Times New Roman" w:hAnsi="Times New Roman" w:cs="Times New Roman"/>
              </w:rPr>
              <w:t xml:space="preserve">“1. Quyết định này quy định chi tiết </w:t>
            </w:r>
            <w:r w:rsidRPr="00D23A9A">
              <w:rPr>
                <w:rFonts w:ascii="Times New Roman" w:hAnsi="Times New Roman" w:cs="Times New Roman"/>
                <w:b/>
                <w:bCs/>
              </w:rPr>
              <w:t>khoản 3 Điều 48 Luật số 47/2024/QH15 được sửa đổi, bổ sung tại khoản 31 Điều 1 Luật số 144/2025/QH15</w:t>
            </w:r>
            <w:r w:rsidRPr="00D23A9A">
              <w:rPr>
                <w:rFonts w:ascii="Times New Roman" w:hAnsi="Times New Roman" w:cs="Times New Roman"/>
              </w:rPr>
              <w:t xml:space="preserve"> về trình tự, thủ tục lập, thẩm định, phê duyệt, công bố điều chỉnh cục bộ Quy hoạch đô thị và nông thôn </w:t>
            </w:r>
            <w:r w:rsidRPr="00D23A9A">
              <w:rPr>
                <w:rFonts w:ascii="Times New Roman" w:hAnsi="Times New Roman" w:cs="Times New Roman"/>
                <w:b/>
                <w:bCs/>
              </w:rPr>
              <w:t>thuộc thẩm quyền phê duyệt của Ủy ban nhân dân tỉnh</w:t>
            </w:r>
            <w:r w:rsidRPr="00D23A9A">
              <w:rPr>
                <w:rFonts w:ascii="Times New Roman" w:hAnsi="Times New Roman" w:cs="Times New Roman"/>
              </w:rPr>
              <w:t>.”</w:t>
            </w:r>
          </w:p>
        </w:tc>
        <w:tc>
          <w:tcPr>
            <w:tcW w:w="0" w:type="auto"/>
            <w:shd w:val="clear" w:color="auto" w:fill="FFFFFF"/>
            <w:vAlign w:val="center"/>
            <w:hideMark/>
          </w:tcPr>
          <w:p w14:paraId="1491BCF7" w14:textId="28240C2C" w:rsidR="00FA5FC0" w:rsidRPr="00D23A9A" w:rsidRDefault="00FA5FC0" w:rsidP="00FA5FC0">
            <w:pPr>
              <w:spacing w:before="60" w:after="60" w:line="240" w:lineRule="auto"/>
              <w:ind w:left="97" w:right="167"/>
              <w:jc w:val="both"/>
              <w:rPr>
                <w:rFonts w:ascii="Times New Roman" w:hAnsi="Times New Roman" w:cs="Times New Roman"/>
              </w:rPr>
            </w:pPr>
            <w:r w:rsidRPr="00D23A9A">
              <w:rPr>
                <w:rFonts w:ascii="Times New Roman" w:hAnsi="Times New Roman" w:cs="Times New Roman"/>
              </w:rPr>
              <w:t>Cập nhật lại căn cứ pháp lý và phạm vi điều chỉnh cho phù hợp với Luật mới (Luật số 144/2025/QH15)</w:t>
            </w:r>
            <w:r>
              <w:rPr>
                <w:rFonts w:ascii="Times New Roman" w:hAnsi="Times New Roman" w:cs="Times New Roman"/>
              </w:rPr>
              <w:t>,</w:t>
            </w:r>
            <w:r w:rsidRPr="00D23A9A">
              <w:rPr>
                <w:rFonts w:ascii="Times New Roman" w:hAnsi="Times New Roman" w:cs="Times New Roman"/>
              </w:rPr>
              <w:t xml:space="preserve"> đồng thời đồng bộ với tên của Quyết định.</w:t>
            </w:r>
          </w:p>
        </w:tc>
      </w:tr>
      <w:tr w:rsidR="00FA5FC0" w:rsidRPr="00D23A9A" w14:paraId="5BFAD435" w14:textId="77777777" w:rsidTr="0061288E">
        <w:tc>
          <w:tcPr>
            <w:tcW w:w="772" w:type="dxa"/>
            <w:shd w:val="clear" w:color="auto" w:fill="FFFFFF"/>
            <w:vAlign w:val="center"/>
            <w:hideMark/>
          </w:tcPr>
          <w:p w14:paraId="62B45553" w14:textId="77777777" w:rsidR="00FA5FC0" w:rsidRPr="00D23A9A" w:rsidRDefault="00FA5FC0" w:rsidP="00FA5FC0">
            <w:pPr>
              <w:spacing w:before="60" w:after="60" w:line="240" w:lineRule="auto"/>
              <w:ind w:left="41" w:right="23"/>
              <w:jc w:val="center"/>
              <w:rPr>
                <w:rFonts w:ascii="Times New Roman" w:hAnsi="Times New Roman" w:cs="Times New Roman"/>
              </w:rPr>
            </w:pPr>
            <w:r w:rsidRPr="00D23A9A">
              <w:rPr>
                <w:rFonts w:ascii="Times New Roman" w:hAnsi="Times New Roman" w:cs="Times New Roman"/>
              </w:rPr>
              <w:t>3</w:t>
            </w:r>
          </w:p>
        </w:tc>
        <w:tc>
          <w:tcPr>
            <w:tcW w:w="1780" w:type="dxa"/>
            <w:shd w:val="clear" w:color="auto" w:fill="FFFFFF"/>
            <w:vAlign w:val="center"/>
            <w:hideMark/>
          </w:tcPr>
          <w:p w14:paraId="3B3A418C" w14:textId="77777777" w:rsidR="00FA5FC0" w:rsidRPr="00D23A9A" w:rsidRDefault="00FA5FC0" w:rsidP="00FA5FC0">
            <w:pPr>
              <w:spacing w:before="60" w:after="60" w:line="240" w:lineRule="auto"/>
              <w:jc w:val="both"/>
              <w:rPr>
                <w:rFonts w:ascii="Times New Roman" w:hAnsi="Times New Roman" w:cs="Times New Roman"/>
              </w:rPr>
            </w:pPr>
            <w:r w:rsidRPr="00D23A9A">
              <w:rPr>
                <w:rFonts w:ascii="Times New Roman" w:hAnsi="Times New Roman" w:cs="Times New Roman"/>
                <w:b/>
                <w:bCs/>
              </w:rPr>
              <w:t>Điều 3</w:t>
            </w:r>
            <w:r w:rsidRPr="00D23A9A">
              <w:rPr>
                <w:rFonts w:ascii="Times New Roman" w:hAnsi="Times New Roman" w:cs="Times New Roman"/>
              </w:rPr>
              <w:t xml:space="preserve"> (Nguyên tắc thực hiện)</w:t>
            </w:r>
          </w:p>
        </w:tc>
        <w:tc>
          <w:tcPr>
            <w:tcW w:w="3757" w:type="dxa"/>
            <w:shd w:val="clear" w:color="auto" w:fill="FFFFFF"/>
            <w:vAlign w:val="center"/>
            <w:hideMark/>
          </w:tcPr>
          <w:p w14:paraId="44F15D05" w14:textId="77777777" w:rsidR="00FA5FC0" w:rsidRPr="00D23A9A" w:rsidRDefault="00FA5FC0" w:rsidP="00FA5FC0">
            <w:pPr>
              <w:spacing w:before="60" w:after="60" w:line="240" w:lineRule="auto"/>
              <w:ind w:left="98" w:right="131"/>
              <w:jc w:val="both"/>
              <w:rPr>
                <w:rFonts w:ascii="Times New Roman" w:hAnsi="Times New Roman" w:cs="Times New Roman"/>
              </w:rPr>
            </w:pPr>
            <w:r w:rsidRPr="00D23A9A">
              <w:rPr>
                <w:rFonts w:ascii="Times New Roman" w:hAnsi="Times New Roman" w:cs="Times New Roman"/>
              </w:rPr>
              <w:t xml:space="preserve">Ủy ban nhân dân cấp xã khi tiến hành điều chỉnh cục bộ quy hoạch đô thị và nông thôn </w:t>
            </w:r>
            <w:r w:rsidRPr="00D23A9A">
              <w:rPr>
                <w:rFonts w:ascii="Times New Roman" w:hAnsi="Times New Roman" w:cs="Times New Roman"/>
                <w:strike/>
              </w:rPr>
              <w:t>được Ủy ban nhân dân tỉnh phê duyệt do Ủy ban nhân dân cấp xã tổ chức lập</w:t>
            </w:r>
            <w:r w:rsidRPr="00D23A9A">
              <w:rPr>
                <w:rFonts w:ascii="Times New Roman" w:hAnsi="Times New Roman" w:cs="Times New Roman"/>
              </w:rPr>
              <w:t xml:space="preserve"> (sau đây gọi là điều chỉnh cục bộ quy hoạch đô thị và nông thôn) theo phân cấp phải đảm bảo tuân thủ...</w:t>
            </w:r>
          </w:p>
        </w:tc>
        <w:tc>
          <w:tcPr>
            <w:tcW w:w="0" w:type="auto"/>
            <w:shd w:val="clear" w:color="auto" w:fill="FFFFFF"/>
            <w:vAlign w:val="center"/>
            <w:hideMark/>
          </w:tcPr>
          <w:p w14:paraId="7A8A5564" w14:textId="77777777" w:rsidR="00FA5FC0" w:rsidRPr="00D23A9A" w:rsidRDefault="00FA5FC0" w:rsidP="00FA5FC0">
            <w:pPr>
              <w:spacing w:before="60" w:after="60" w:line="240" w:lineRule="auto"/>
              <w:ind w:left="108" w:right="132"/>
              <w:jc w:val="both"/>
              <w:rPr>
                <w:rFonts w:ascii="Times New Roman" w:hAnsi="Times New Roman" w:cs="Times New Roman"/>
              </w:rPr>
            </w:pPr>
            <w:r w:rsidRPr="00D23A9A">
              <w:rPr>
                <w:rFonts w:ascii="Times New Roman" w:hAnsi="Times New Roman" w:cs="Times New Roman"/>
              </w:rPr>
              <w:t xml:space="preserve">“Ủy ban nhân dân cấp xã khi tiến hành điều chỉnh cục bộ quy hoạch đô thị và nông thôn </w:t>
            </w:r>
            <w:r w:rsidRPr="00D23A9A">
              <w:rPr>
                <w:rFonts w:ascii="Times New Roman" w:hAnsi="Times New Roman" w:cs="Times New Roman"/>
                <w:b/>
                <w:bCs/>
              </w:rPr>
              <w:t>thuộc thẩm quyền phê duyệt của Ủy ban nhân dân tỉnh</w:t>
            </w:r>
            <w:r w:rsidRPr="00D23A9A">
              <w:rPr>
                <w:rFonts w:ascii="Times New Roman" w:hAnsi="Times New Roman" w:cs="Times New Roman"/>
              </w:rPr>
              <w:t xml:space="preserve"> (sau đây gọi là điều chỉnh cục bộ quy hoạch đô thị và nông thôn) theo phân cấp phải đảm bảo tuân thủ...</w:t>
            </w:r>
          </w:p>
        </w:tc>
        <w:tc>
          <w:tcPr>
            <w:tcW w:w="0" w:type="auto"/>
            <w:shd w:val="clear" w:color="auto" w:fill="FFFFFF"/>
            <w:vAlign w:val="center"/>
            <w:hideMark/>
          </w:tcPr>
          <w:p w14:paraId="27FACF98" w14:textId="77777777" w:rsidR="00FA5FC0" w:rsidRPr="00D23A9A" w:rsidRDefault="00FA5FC0" w:rsidP="00FA5FC0">
            <w:pPr>
              <w:spacing w:before="60" w:after="60" w:line="240" w:lineRule="auto"/>
              <w:ind w:left="97" w:right="167"/>
              <w:jc w:val="both"/>
              <w:rPr>
                <w:rFonts w:ascii="Times New Roman" w:hAnsi="Times New Roman" w:cs="Times New Roman"/>
              </w:rPr>
            </w:pPr>
            <w:r w:rsidRPr="00D23A9A">
              <w:rPr>
                <w:rFonts w:ascii="Times New Roman" w:hAnsi="Times New Roman" w:cs="Times New Roman"/>
              </w:rPr>
              <w:t>Chuẩn hóa lại thuật ngữ về đối tượng quy hoạch bị điều chỉnh cho phù hợp với quy định về phân cấp thẩm quyền của Luật mới.</w:t>
            </w:r>
          </w:p>
        </w:tc>
      </w:tr>
      <w:tr w:rsidR="00FA5FC0" w:rsidRPr="00D23A9A" w14:paraId="09926E06" w14:textId="77777777" w:rsidTr="0061288E">
        <w:tc>
          <w:tcPr>
            <w:tcW w:w="772" w:type="dxa"/>
            <w:shd w:val="clear" w:color="auto" w:fill="FFFFFF"/>
            <w:vAlign w:val="center"/>
            <w:hideMark/>
          </w:tcPr>
          <w:p w14:paraId="40ABD4DD" w14:textId="77777777" w:rsidR="00FA5FC0" w:rsidRPr="00D23A9A" w:rsidRDefault="00FA5FC0" w:rsidP="00FA5FC0">
            <w:pPr>
              <w:spacing w:before="60" w:after="60" w:line="240" w:lineRule="auto"/>
              <w:ind w:left="41" w:right="23"/>
              <w:jc w:val="center"/>
              <w:rPr>
                <w:rFonts w:ascii="Times New Roman" w:hAnsi="Times New Roman" w:cs="Times New Roman"/>
              </w:rPr>
            </w:pPr>
            <w:r w:rsidRPr="00D23A9A">
              <w:rPr>
                <w:rFonts w:ascii="Times New Roman" w:hAnsi="Times New Roman" w:cs="Times New Roman"/>
              </w:rPr>
              <w:lastRenderedPageBreak/>
              <w:t>4</w:t>
            </w:r>
          </w:p>
        </w:tc>
        <w:tc>
          <w:tcPr>
            <w:tcW w:w="1780" w:type="dxa"/>
            <w:shd w:val="clear" w:color="auto" w:fill="FFFFFF"/>
            <w:vAlign w:val="center"/>
            <w:hideMark/>
          </w:tcPr>
          <w:p w14:paraId="1B11F36F" w14:textId="77777777" w:rsidR="00FA5FC0" w:rsidRPr="00D23A9A" w:rsidRDefault="00FA5FC0" w:rsidP="00FA5FC0">
            <w:pPr>
              <w:spacing w:before="60" w:after="60" w:line="240" w:lineRule="auto"/>
              <w:jc w:val="both"/>
              <w:rPr>
                <w:rFonts w:ascii="Times New Roman" w:hAnsi="Times New Roman" w:cs="Times New Roman"/>
              </w:rPr>
            </w:pPr>
            <w:r w:rsidRPr="00D23A9A">
              <w:rPr>
                <w:rFonts w:ascii="Times New Roman" w:hAnsi="Times New Roman" w:cs="Times New Roman"/>
                <w:b/>
                <w:bCs/>
              </w:rPr>
              <w:t>Khoản 1 Điều 4</w:t>
            </w:r>
            <w:r w:rsidRPr="00D23A9A">
              <w:rPr>
                <w:rFonts w:ascii="Times New Roman" w:hAnsi="Times New Roman" w:cs="Times New Roman"/>
              </w:rPr>
              <w:t xml:space="preserve"> (Lập hồ sơ điều chỉnh cục bộ...)</w:t>
            </w:r>
          </w:p>
        </w:tc>
        <w:tc>
          <w:tcPr>
            <w:tcW w:w="3757" w:type="dxa"/>
            <w:shd w:val="clear" w:color="auto" w:fill="FFFFFF"/>
            <w:vAlign w:val="center"/>
            <w:hideMark/>
          </w:tcPr>
          <w:p w14:paraId="1AB4B84D" w14:textId="77777777" w:rsidR="00FA5FC0" w:rsidRPr="00D23A9A" w:rsidRDefault="00FA5FC0" w:rsidP="00FA5FC0">
            <w:pPr>
              <w:spacing w:before="60" w:after="60" w:line="240" w:lineRule="auto"/>
              <w:ind w:left="98" w:right="131"/>
              <w:jc w:val="both"/>
              <w:rPr>
                <w:rFonts w:ascii="Times New Roman" w:hAnsi="Times New Roman" w:cs="Times New Roman"/>
              </w:rPr>
            </w:pPr>
            <w:r w:rsidRPr="00D23A9A">
              <w:rPr>
                <w:rFonts w:ascii="Times New Roman" w:hAnsi="Times New Roman" w:cs="Times New Roman"/>
              </w:rPr>
              <w:t xml:space="preserve">1. Ủy ban nhân dân cấp xã có trách nhiệm lập hồ sơ điều chỉnh cục bộ quy hoạch hoặc phân cấp cho cơ quan chuyên môn, tổ chức hành chính khác thuộc Ủy ban nhân dân cấp xã của mình quản lý. Việc lập hồ sơ điều chỉnh cục bộ quy hoạch tự thực hiện hoặc lựa chọn tổ chức tư vấn đáp ứng yêu cầu theo quy định của Luật số 47/2024/QH15 </w:t>
            </w:r>
            <w:r w:rsidRPr="00D23A9A">
              <w:rPr>
                <w:rFonts w:ascii="Times New Roman" w:hAnsi="Times New Roman" w:cs="Times New Roman"/>
                <w:strike/>
              </w:rPr>
              <w:t>theo nguyên tắc bảo đảm tính độc lập giữa việc lập, thẩm định và phê duyệt điều chỉnh cục bộ quy hoạch đô thị và nông thôn</w:t>
            </w:r>
            <w:r w:rsidRPr="00D23A9A">
              <w:rPr>
                <w:rFonts w:ascii="Times New Roman" w:hAnsi="Times New Roman" w:cs="Times New Roman"/>
              </w:rPr>
              <w:t>.</w:t>
            </w:r>
          </w:p>
        </w:tc>
        <w:tc>
          <w:tcPr>
            <w:tcW w:w="0" w:type="auto"/>
            <w:shd w:val="clear" w:color="auto" w:fill="FFFFFF"/>
            <w:vAlign w:val="center"/>
            <w:hideMark/>
          </w:tcPr>
          <w:p w14:paraId="220F26AF" w14:textId="77777777" w:rsidR="00FA5FC0" w:rsidRPr="00D23A9A" w:rsidRDefault="00FA5FC0" w:rsidP="00FA5FC0">
            <w:pPr>
              <w:spacing w:before="60" w:after="60" w:line="240" w:lineRule="auto"/>
              <w:ind w:left="108" w:right="132"/>
              <w:jc w:val="both"/>
              <w:rPr>
                <w:rFonts w:ascii="Times New Roman" w:hAnsi="Times New Roman" w:cs="Times New Roman"/>
              </w:rPr>
            </w:pPr>
            <w:r w:rsidRPr="00D23A9A">
              <w:rPr>
                <w:rFonts w:ascii="Times New Roman" w:hAnsi="Times New Roman" w:cs="Times New Roman"/>
              </w:rPr>
              <w:t xml:space="preserve">“1. Ủy ban nhân dân cấp xã có trách nhiệm lập hồ sơ điều chỉnh cục bộ quy hoạch hoặc phân cấp cho cơ quan chuyên môn, tổ chức hành chính khác thuộc Ủy ban nhân dân cấp xã của mình quản lý. Việc lập hồ sơ điều chỉnh cục bộ quy hoạch tự thực hiện hoặc lựa chọn tổ chức tư vấn đáp ứng yêu cầu theo quy định của Luật số 47/2024/QH15 </w:t>
            </w:r>
            <w:r w:rsidRPr="00D23A9A">
              <w:rPr>
                <w:rFonts w:ascii="Times New Roman" w:hAnsi="Times New Roman" w:cs="Times New Roman"/>
                <w:b/>
                <w:bCs/>
              </w:rPr>
              <w:t>và Luật số 144/2025/QH15</w:t>
            </w:r>
            <w:r w:rsidRPr="00D23A9A">
              <w:rPr>
                <w:rFonts w:ascii="Times New Roman" w:hAnsi="Times New Roman" w:cs="Times New Roman"/>
              </w:rPr>
              <w:t>.”</w:t>
            </w:r>
          </w:p>
        </w:tc>
        <w:tc>
          <w:tcPr>
            <w:tcW w:w="0" w:type="auto"/>
            <w:shd w:val="clear" w:color="auto" w:fill="FFFFFF"/>
            <w:vAlign w:val="center"/>
            <w:hideMark/>
          </w:tcPr>
          <w:p w14:paraId="3A4BD0B4" w14:textId="0F6190F4" w:rsidR="00FA5FC0" w:rsidRPr="00D23A9A" w:rsidRDefault="00FA5FC0" w:rsidP="00FA5FC0">
            <w:pPr>
              <w:spacing w:before="60" w:after="60" w:line="240" w:lineRule="auto"/>
              <w:ind w:left="97" w:right="167"/>
              <w:jc w:val="both"/>
              <w:rPr>
                <w:rFonts w:ascii="Times New Roman" w:hAnsi="Times New Roman" w:cs="Times New Roman"/>
              </w:rPr>
            </w:pPr>
            <w:r w:rsidRPr="00D23A9A">
              <w:rPr>
                <w:rFonts w:ascii="Times New Roman" w:hAnsi="Times New Roman" w:cs="Times New Roman"/>
              </w:rPr>
              <w:t xml:space="preserve">Bổ sung căn cứ Luật số 144/2025/QH15 đối với các yêu cầu về lựa chọn tổ chức tư vấn lập </w:t>
            </w:r>
            <w:r>
              <w:rPr>
                <w:rFonts w:ascii="Times New Roman" w:hAnsi="Times New Roman" w:cs="Times New Roman"/>
              </w:rPr>
              <w:t>quy hoạch</w:t>
            </w:r>
            <w:r w:rsidRPr="00D23A9A">
              <w:rPr>
                <w:rFonts w:ascii="Times New Roman" w:hAnsi="Times New Roman" w:cs="Times New Roman"/>
              </w:rPr>
              <w:t xml:space="preserve"> và chuẩn hóa nội dung câu chữ.</w:t>
            </w:r>
          </w:p>
        </w:tc>
      </w:tr>
      <w:tr w:rsidR="00FA5FC0" w:rsidRPr="00D23A9A" w14:paraId="5911BF3F" w14:textId="77777777" w:rsidTr="0061288E">
        <w:tc>
          <w:tcPr>
            <w:tcW w:w="772" w:type="dxa"/>
            <w:shd w:val="clear" w:color="auto" w:fill="FFFFFF"/>
            <w:vAlign w:val="center"/>
            <w:hideMark/>
          </w:tcPr>
          <w:p w14:paraId="51938D7B" w14:textId="77777777" w:rsidR="00FA5FC0" w:rsidRPr="00D23A9A" w:rsidRDefault="00FA5FC0" w:rsidP="00FA5FC0">
            <w:pPr>
              <w:spacing w:before="60" w:after="60" w:line="240" w:lineRule="auto"/>
              <w:ind w:left="41" w:right="23"/>
              <w:jc w:val="center"/>
              <w:rPr>
                <w:rFonts w:ascii="Times New Roman" w:hAnsi="Times New Roman" w:cs="Times New Roman"/>
              </w:rPr>
            </w:pPr>
            <w:r w:rsidRPr="00D23A9A">
              <w:rPr>
                <w:rFonts w:ascii="Times New Roman" w:hAnsi="Times New Roman" w:cs="Times New Roman"/>
              </w:rPr>
              <w:t>5</w:t>
            </w:r>
          </w:p>
        </w:tc>
        <w:tc>
          <w:tcPr>
            <w:tcW w:w="1780" w:type="dxa"/>
            <w:shd w:val="clear" w:color="auto" w:fill="FFFFFF"/>
            <w:vAlign w:val="center"/>
            <w:hideMark/>
          </w:tcPr>
          <w:p w14:paraId="24A79575" w14:textId="77777777" w:rsidR="00FA5FC0" w:rsidRPr="00D23A9A" w:rsidRDefault="00FA5FC0" w:rsidP="00FA5FC0">
            <w:pPr>
              <w:spacing w:before="60" w:after="60" w:line="240" w:lineRule="auto"/>
              <w:jc w:val="both"/>
              <w:rPr>
                <w:rFonts w:ascii="Times New Roman" w:hAnsi="Times New Roman" w:cs="Times New Roman"/>
              </w:rPr>
            </w:pPr>
            <w:r w:rsidRPr="00D23A9A">
              <w:rPr>
                <w:rFonts w:ascii="Times New Roman" w:hAnsi="Times New Roman" w:cs="Times New Roman"/>
                <w:b/>
                <w:bCs/>
              </w:rPr>
              <w:t>Điểm d khoản 3 Điều 6</w:t>
            </w:r>
            <w:r w:rsidRPr="00D23A9A">
              <w:rPr>
                <w:rFonts w:ascii="Times New Roman" w:hAnsi="Times New Roman" w:cs="Times New Roman"/>
              </w:rPr>
              <w:t xml:space="preserve"> (Nội dung thẩm định)</w:t>
            </w:r>
          </w:p>
        </w:tc>
        <w:tc>
          <w:tcPr>
            <w:tcW w:w="3757" w:type="dxa"/>
            <w:shd w:val="clear" w:color="auto" w:fill="FFFFFF"/>
            <w:vAlign w:val="center"/>
            <w:hideMark/>
          </w:tcPr>
          <w:p w14:paraId="4C1D60F3" w14:textId="77777777" w:rsidR="00FA5FC0" w:rsidRPr="00D23A9A" w:rsidRDefault="00FA5FC0" w:rsidP="00FA5FC0">
            <w:pPr>
              <w:spacing w:before="60" w:after="60" w:line="240" w:lineRule="auto"/>
              <w:ind w:left="98" w:right="131"/>
              <w:jc w:val="both"/>
              <w:rPr>
                <w:rFonts w:ascii="Times New Roman" w:hAnsi="Times New Roman" w:cs="Times New Roman"/>
              </w:rPr>
            </w:pPr>
            <w:r w:rsidRPr="00D23A9A">
              <w:rPr>
                <w:rFonts w:ascii="Times New Roman" w:hAnsi="Times New Roman" w:cs="Times New Roman"/>
              </w:rPr>
              <w:t>d) Đánh giá sự phù hợp với các nguyên tắc, yêu cầu về quy hoạch đô thị và nông thôn quy định tại Điều 6 và Điều 7 của Luật số 47/2024/QH15.</w:t>
            </w:r>
          </w:p>
        </w:tc>
        <w:tc>
          <w:tcPr>
            <w:tcW w:w="0" w:type="auto"/>
            <w:shd w:val="clear" w:color="auto" w:fill="FFFFFF"/>
            <w:vAlign w:val="center"/>
            <w:hideMark/>
          </w:tcPr>
          <w:p w14:paraId="1E1D3401" w14:textId="77777777" w:rsidR="00FA5FC0" w:rsidRPr="00D23A9A" w:rsidRDefault="00FA5FC0" w:rsidP="00FA5FC0">
            <w:pPr>
              <w:spacing w:before="60" w:after="60" w:line="240" w:lineRule="auto"/>
              <w:ind w:left="108" w:right="132"/>
              <w:jc w:val="both"/>
              <w:rPr>
                <w:rFonts w:ascii="Times New Roman" w:hAnsi="Times New Roman" w:cs="Times New Roman"/>
              </w:rPr>
            </w:pPr>
            <w:r w:rsidRPr="00D23A9A">
              <w:rPr>
                <w:rFonts w:ascii="Times New Roman" w:hAnsi="Times New Roman" w:cs="Times New Roman"/>
              </w:rPr>
              <w:t xml:space="preserve">“d) Đánh giá sự phù hợp với các nguyên tắc, yêu cầu về quy hoạch đô thị và nông thôn quy định tại Điều 6 và Điều 7 của Luật số 47/2024/QH15 </w:t>
            </w:r>
            <w:r w:rsidRPr="00D23A9A">
              <w:rPr>
                <w:rFonts w:ascii="Times New Roman" w:hAnsi="Times New Roman" w:cs="Times New Roman"/>
                <w:b/>
                <w:bCs/>
              </w:rPr>
              <w:t>được sửa đổi, bổ sung tại khoản 5, khoản 36 Điều 1 Luật số 144/2025/QH15</w:t>
            </w:r>
            <w:r w:rsidRPr="00D23A9A">
              <w:rPr>
                <w:rFonts w:ascii="Times New Roman" w:hAnsi="Times New Roman" w:cs="Times New Roman"/>
              </w:rPr>
              <w:t>.”</w:t>
            </w:r>
          </w:p>
        </w:tc>
        <w:tc>
          <w:tcPr>
            <w:tcW w:w="0" w:type="auto"/>
            <w:shd w:val="clear" w:color="auto" w:fill="FFFFFF"/>
            <w:vAlign w:val="center"/>
            <w:hideMark/>
          </w:tcPr>
          <w:p w14:paraId="6160C927" w14:textId="4400F69C" w:rsidR="00FA5FC0" w:rsidRPr="00D23A9A" w:rsidRDefault="00FA5FC0" w:rsidP="00FA5FC0">
            <w:pPr>
              <w:spacing w:before="60" w:after="60" w:line="240" w:lineRule="auto"/>
              <w:ind w:left="97" w:right="167"/>
              <w:jc w:val="both"/>
              <w:rPr>
                <w:rFonts w:ascii="Times New Roman" w:hAnsi="Times New Roman" w:cs="Times New Roman"/>
              </w:rPr>
            </w:pPr>
            <w:r w:rsidRPr="00D23A9A">
              <w:rPr>
                <w:rFonts w:ascii="Times New Roman" w:hAnsi="Times New Roman" w:cs="Times New Roman"/>
              </w:rPr>
              <w:t>Cập nhật, bổ sung các khoản mới được sửa đổi liên quan đến nguyên tắc và yêu cầu quy hoạch tại Điều 6, Điều 7 Luật số 47/2024/QH15</w:t>
            </w:r>
            <w:r>
              <w:rPr>
                <w:rFonts w:ascii="Times New Roman" w:hAnsi="Times New Roman" w:cs="Times New Roman"/>
              </w:rPr>
              <w:t xml:space="preserve"> được sửa đổi, bổ sung</w:t>
            </w:r>
            <w:r w:rsidRPr="00D23A9A">
              <w:rPr>
                <w:rFonts w:ascii="Times New Roman" w:hAnsi="Times New Roman" w:cs="Times New Roman"/>
              </w:rPr>
              <w:t xml:space="preserve"> bởi Luật số 144/2025/QH15 để làm cơ sở cho cơ quan chuyên môn thẩm định.</w:t>
            </w:r>
          </w:p>
        </w:tc>
      </w:tr>
    </w:tbl>
    <w:p w14:paraId="6AA61128" w14:textId="77777777" w:rsidR="00CD4AC2" w:rsidRPr="00D23A9A" w:rsidRDefault="00CD4AC2" w:rsidP="00867199">
      <w:pPr>
        <w:jc w:val="both"/>
        <w:rPr>
          <w:rFonts w:ascii="Times New Roman" w:hAnsi="Times New Roman" w:cs="Times New Roman"/>
        </w:rPr>
      </w:pPr>
    </w:p>
    <w:sectPr w:rsidR="00CD4AC2" w:rsidRPr="00D23A9A" w:rsidSect="0061288E">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6DF6" w14:textId="77777777" w:rsidR="00D955A0" w:rsidRDefault="00D955A0" w:rsidP="00D60E9A">
      <w:pPr>
        <w:spacing w:after="0" w:line="240" w:lineRule="auto"/>
      </w:pPr>
      <w:r>
        <w:separator/>
      </w:r>
    </w:p>
  </w:endnote>
  <w:endnote w:type="continuationSeparator" w:id="0">
    <w:p w14:paraId="17EEF0FD" w14:textId="77777777" w:rsidR="00D955A0" w:rsidRDefault="00D955A0" w:rsidP="00D6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7A8B" w14:textId="77777777" w:rsidR="00D955A0" w:rsidRDefault="00D955A0" w:rsidP="00D60E9A">
      <w:pPr>
        <w:spacing w:after="0" w:line="240" w:lineRule="auto"/>
      </w:pPr>
      <w:r>
        <w:separator/>
      </w:r>
    </w:p>
  </w:footnote>
  <w:footnote w:type="continuationSeparator" w:id="0">
    <w:p w14:paraId="378C9BEA" w14:textId="77777777" w:rsidR="00D955A0" w:rsidRDefault="00D955A0" w:rsidP="00D60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E9"/>
    <w:rsid w:val="0023776B"/>
    <w:rsid w:val="00532BF3"/>
    <w:rsid w:val="005350C7"/>
    <w:rsid w:val="0061288E"/>
    <w:rsid w:val="00825357"/>
    <w:rsid w:val="00867199"/>
    <w:rsid w:val="008D671E"/>
    <w:rsid w:val="00943FEE"/>
    <w:rsid w:val="00A156F4"/>
    <w:rsid w:val="00A97FEC"/>
    <w:rsid w:val="00B80981"/>
    <w:rsid w:val="00CA26EC"/>
    <w:rsid w:val="00CD4AC2"/>
    <w:rsid w:val="00D03657"/>
    <w:rsid w:val="00D23A9A"/>
    <w:rsid w:val="00D60E9A"/>
    <w:rsid w:val="00D955A0"/>
    <w:rsid w:val="00DD5DFA"/>
    <w:rsid w:val="00EC48E9"/>
    <w:rsid w:val="00F517C8"/>
    <w:rsid w:val="00FA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0D15"/>
  <w15:chartTrackingRefBased/>
  <w15:docId w15:val="{60323C28-83C7-4441-866D-8EAD5FD8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8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48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48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48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48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4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48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48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48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48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4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E9"/>
    <w:rPr>
      <w:rFonts w:eastAsiaTheme="majorEastAsia" w:cstheme="majorBidi"/>
      <w:color w:val="272727" w:themeColor="text1" w:themeTint="D8"/>
    </w:rPr>
  </w:style>
  <w:style w:type="paragraph" w:styleId="Title">
    <w:name w:val="Title"/>
    <w:basedOn w:val="Normal"/>
    <w:next w:val="Normal"/>
    <w:link w:val="TitleChar"/>
    <w:uiPriority w:val="10"/>
    <w:qFormat/>
    <w:rsid w:val="00EC4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E9"/>
    <w:pPr>
      <w:spacing w:before="160"/>
      <w:jc w:val="center"/>
    </w:pPr>
    <w:rPr>
      <w:i/>
      <w:iCs/>
      <w:color w:val="404040" w:themeColor="text1" w:themeTint="BF"/>
    </w:rPr>
  </w:style>
  <w:style w:type="character" w:customStyle="1" w:styleId="QuoteChar">
    <w:name w:val="Quote Char"/>
    <w:basedOn w:val="DefaultParagraphFont"/>
    <w:link w:val="Quote"/>
    <w:uiPriority w:val="29"/>
    <w:rsid w:val="00EC48E9"/>
    <w:rPr>
      <w:i/>
      <w:iCs/>
      <w:color w:val="404040" w:themeColor="text1" w:themeTint="BF"/>
    </w:rPr>
  </w:style>
  <w:style w:type="paragraph" w:styleId="ListParagraph">
    <w:name w:val="List Paragraph"/>
    <w:basedOn w:val="Normal"/>
    <w:uiPriority w:val="34"/>
    <w:qFormat/>
    <w:rsid w:val="00EC48E9"/>
    <w:pPr>
      <w:ind w:left="720"/>
      <w:contextualSpacing/>
    </w:pPr>
  </w:style>
  <w:style w:type="character" w:styleId="IntenseEmphasis">
    <w:name w:val="Intense Emphasis"/>
    <w:basedOn w:val="DefaultParagraphFont"/>
    <w:uiPriority w:val="21"/>
    <w:qFormat/>
    <w:rsid w:val="00EC48E9"/>
    <w:rPr>
      <w:i/>
      <w:iCs/>
      <w:color w:val="2E74B5" w:themeColor="accent1" w:themeShade="BF"/>
    </w:rPr>
  </w:style>
  <w:style w:type="paragraph" w:styleId="IntenseQuote">
    <w:name w:val="Intense Quote"/>
    <w:basedOn w:val="Normal"/>
    <w:next w:val="Normal"/>
    <w:link w:val="IntenseQuoteChar"/>
    <w:uiPriority w:val="30"/>
    <w:qFormat/>
    <w:rsid w:val="00EC48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48E9"/>
    <w:rPr>
      <w:i/>
      <w:iCs/>
      <w:color w:val="2E74B5" w:themeColor="accent1" w:themeShade="BF"/>
    </w:rPr>
  </w:style>
  <w:style w:type="character" w:styleId="IntenseReference">
    <w:name w:val="Intense Reference"/>
    <w:basedOn w:val="DefaultParagraphFont"/>
    <w:uiPriority w:val="32"/>
    <w:qFormat/>
    <w:rsid w:val="00EC48E9"/>
    <w:rPr>
      <w:b/>
      <w:bCs/>
      <w:smallCaps/>
      <w:color w:val="2E74B5" w:themeColor="accent1" w:themeShade="BF"/>
      <w:spacing w:val="5"/>
    </w:rPr>
  </w:style>
  <w:style w:type="paragraph" w:styleId="Header">
    <w:name w:val="header"/>
    <w:basedOn w:val="Normal"/>
    <w:link w:val="HeaderChar"/>
    <w:uiPriority w:val="99"/>
    <w:unhideWhenUsed/>
    <w:rsid w:val="00D60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9A"/>
  </w:style>
  <w:style w:type="paragraph" w:styleId="Footer">
    <w:name w:val="footer"/>
    <w:basedOn w:val="Normal"/>
    <w:link w:val="FooterChar"/>
    <w:uiPriority w:val="99"/>
    <w:unhideWhenUsed/>
    <w:rsid w:val="00D60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quyhoach phong</dc:creator>
  <cp:keywords/>
  <dc:description/>
  <cp:lastModifiedBy>quyhoach phong</cp:lastModifiedBy>
  <cp:revision>14</cp:revision>
  <dcterms:created xsi:type="dcterms:W3CDTF">2026-03-12T00:11:00Z</dcterms:created>
  <dcterms:modified xsi:type="dcterms:W3CDTF">2026-03-12T00:24:00Z</dcterms:modified>
</cp:coreProperties>
</file>